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1" w:lineRule="exact"/>
      </w:pPr>
      <w:r>
        <w:rPr>
          <w:lang w:bidi="ar-SA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125829378" behindDoc="0" locked="0" layoutInCell="1" allowOverlap="1">
                <wp:simplePos x="0" y="0"/>
                <wp:positionH relativeFrom="page">
                  <wp:posOffset>6022975</wp:posOffset>
                </wp:positionH>
                <wp:positionV relativeFrom="paragraph">
                  <wp:posOffset>12700</wp:posOffset>
                </wp:positionV>
                <wp:extent cx="816610" cy="707390"/>
                <wp:effectExtent l="0" t="0" r="0" b="0"/>
                <wp:wrapSquare wrapText="bothSides"/>
                <wp:docPr id="1" name="Shap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box 2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816610" cy="7073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25829378;o:allowoverlap:true;o:allowincell:true;mso-position-horizontal-relative:page;margin-left:474.25pt;mso-position-horizontal:absolute;mso-position-vertical-relative:text;margin-top:1.00pt;mso-position-vertical:absolute;width:64.30pt;height:55.70pt;mso-wrap-distance-left:9.00pt;mso-wrap-distance-top:0.00pt;mso-wrap-distance-right:9.00pt;mso-wrap-distance-bottom:0.00pt;" stroked="false">
                <v:path textboxrect="0,0,0,0"/>
                <w10:wrap type="square"/>
                <v:imagedata r:id="rId9" o:title=""/>
              </v:shape>
            </w:pict>
          </mc:Fallback>
        </mc:AlternateContent>
      </w:r>
      <w:r/>
    </w:p>
    <w:p>
      <w:pPr>
        <w:pStyle w:val="671"/>
        <w:ind w:firstLine="140"/>
        <w:spacing w:after="880"/>
        <w:rPr>
          <w:lang w:val="en-US"/>
        </w:rPr>
      </w:pPr>
      <w:r>
        <w:rPr>
          <w:i/>
          <w:iCs/>
          <w:lang w:val="en-US"/>
        </w:rPr>
        <w:t xml:space="preserve">XII</w:t>
      </w:r>
      <w:r>
        <w:rPr>
          <w:i/>
          <w:iCs/>
          <w:vertAlign w:val="superscript"/>
          <w:lang w:val="en-US"/>
        </w:rPr>
        <w:t xml:space="preserve">th</w:t>
      </w:r>
      <w:r>
        <w:rPr>
          <w:i/>
          <w:iCs/>
          <w:lang w:val="en-US"/>
        </w:rPr>
        <w:t xml:space="preserve"> International Interdisciplinary Congres</w:t>
      </w:r>
      <w:r>
        <w:rPr>
          <w:i/>
          <w:iCs/>
          <w:lang w:val="en-US"/>
        </w:rPr>
        <w:t xml:space="preserve">s on Head &amp;Neck Diseases, Mosco</w:t>
      </w:r>
      <w:r>
        <w:rPr>
          <w:i/>
          <w:iCs/>
          <w:lang w:val="en-US"/>
        </w:rPr>
        <w:t xml:space="preserve">w, June 6-8, 2024</w:t>
      </w:r>
      <w:r>
        <w:rPr>
          <w:lang w:val="en-US"/>
        </w:rPr>
      </w:r>
    </w:p>
    <w:p>
      <w:pPr>
        <w:jc w:val="center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 xml:space="preserve">К вопросу</w:t>
      </w:r>
      <w:r>
        <w:rPr>
          <w:rFonts w:ascii="Times New Roman" w:hAnsi="Times New Roman" w:cs="Times New Roman"/>
          <w:b/>
          <w:szCs w:val="20"/>
        </w:rPr>
        <w:t xml:space="preserve"> медикаментозного лечения осложненной катаракты</w:t>
      </w:r>
      <w:r>
        <w:rPr>
          <w:rFonts w:ascii="Times New Roman" w:hAnsi="Times New Roman" w:cs="Times New Roman"/>
          <w:b/>
          <w:szCs w:val="20"/>
        </w:rPr>
      </w:r>
    </w:p>
    <w:p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Е</w:t>
      </w:r>
      <w:r>
        <w:rPr>
          <w:rFonts w:ascii="Times New Roman" w:hAnsi="Times New Roman" w:cs="Times New Roman"/>
          <w:sz w:val="20"/>
          <w:szCs w:val="20"/>
        </w:rPr>
        <w:t xml:space="preserve">лена </w:t>
      </w:r>
      <w:r>
        <w:rPr>
          <w:rFonts w:ascii="Times New Roman" w:hAnsi="Times New Roman" w:cs="Times New Roman"/>
          <w:sz w:val="20"/>
          <w:szCs w:val="20"/>
        </w:rPr>
        <w:t xml:space="preserve">В. Кремкова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(1)</w:t>
      </w:r>
      <w:r>
        <w:rPr>
          <w:rFonts w:ascii="Times New Roman" w:hAnsi="Times New Roman" w:cs="Times New Roman"/>
          <w:sz w:val="20"/>
          <w:szCs w:val="20"/>
        </w:rPr>
        <w:t xml:space="preserve">, Мадина </w:t>
      </w:r>
      <w:r>
        <w:rPr>
          <w:rFonts w:ascii="Times New Roman" w:hAnsi="Times New Roman" w:cs="Times New Roman"/>
          <w:sz w:val="20"/>
          <w:szCs w:val="20"/>
        </w:rPr>
        <w:t xml:space="preserve">Г. Рабаданова*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(1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,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)</w:t>
      </w:r>
      <w:r>
        <w:rPr>
          <w:rFonts w:ascii="Times New Roman" w:hAnsi="Times New Roman" w:cs="Times New Roman"/>
          <w:sz w:val="20"/>
          <w:szCs w:val="20"/>
        </w:rPr>
        <w:t xml:space="preserve">, М</w:t>
      </w:r>
      <w:r>
        <w:rPr>
          <w:rFonts w:ascii="Times New Roman" w:hAnsi="Times New Roman" w:cs="Times New Roman"/>
          <w:sz w:val="20"/>
          <w:szCs w:val="20"/>
        </w:rPr>
        <w:t xml:space="preserve">арья</w:t>
      </w:r>
      <w:r>
        <w:rPr>
          <w:rFonts w:ascii="Times New Roman" w:hAnsi="Times New Roman" w:cs="Times New Roman"/>
          <w:sz w:val="20"/>
          <w:szCs w:val="20"/>
        </w:rPr>
        <w:t xml:space="preserve">на </w:t>
      </w:r>
      <w:r>
        <w:rPr>
          <w:rFonts w:ascii="Times New Roman" w:hAnsi="Times New Roman" w:cs="Times New Roman"/>
          <w:sz w:val="20"/>
          <w:szCs w:val="20"/>
        </w:rPr>
        <w:t xml:space="preserve">М. Яхъяева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(1)</w:t>
      </w:r>
      <w:r>
        <w:rPr>
          <w:rFonts w:ascii="Times New Roman" w:hAnsi="Times New Roman" w:cs="Times New Roman"/>
          <w:sz w:val="20"/>
          <w:szCs w:val="20"/>
        </w:rPr>
        <w:t xml:space="preserve"> и Екатерина </w:t>
      </w:r>
      <w:r>
        <w:rPr>
          <w:rFonts w:ascii="Times New Roman" w:hAnsi="Times New Roman" w:cs="Times New Roman"/>
          <w:sz w:val="20"/>
          <w:szCs w:val="20"/>
        </w:rPr>
        <w:t xml:space="preserve">С. Жидкова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(1)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(1) – ФГАОУ ВО РНИМУ им. Н.И. Пирогова Минздрава России, Россия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672"/>
        <w:ind w:left="1760"/>
        <w:spacing w:after="0"/>
        <w:sectPr>
          <w:footnotePr/>
          <w:endnotePr/>
          <w:type w:val="nextPage"/>
          <w:pgSz w:w="11900" w:h="16840" w:orient="portrait"/>
          <w:pgMar w:top="1438" w:right="869" w:bottom="1267" w:left="874" w:header="1010" w:footer="839" w:gutter="0"/>
          <w:pgNumType w:start="1"/>
          <w:cols w:num="1" w:sep="0" w:space="720" w:equalWidth="1"/>
          <w:docGrid w:linePitch="360"/>
        </w:sectPr>
      </w:pPr>
      <w:r>
        <w:t xml:space="preserve">Аннотация</w:t>
      </w:r>
      <w:r/>
    </w:p>
    <w:p>
      <w:pPr>
        <w:spacing w:line="1" w:lineRule="exact"/>
      </w:pPr>
      <w:r/>
      <w:r/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/>
      <w:bookmarkStart w:id="0" w:name="bookmark0"/>
      <w:r/>
      <w:bookmarkEnd w:id="0"/>
      <w:r>
        <w:rPr>
          <w:rFonts w:ascii="Times New Roman" w:hAnsi="Times New Roman" w:cs="Times New Roman"/>
          <w:sz w:val="20"/>
          <w:szCs w:val="20"/>
        </w:rPr>
        <w:t xml:space="preserve">В современном мире катаракта является одной из наиболее распространенных офтальмологических патологий</w:t>
      </w:r>
      <w:r>
        <w:rPr>
          <w:rFonts w:ascii="Times New Roman" w:hAnsi="Times New Roman" w:cs="Times New Roman"/>
          <w:sz w:val="20"/>
          <w:szCs w:val="20"/>
        </w:rPr>
        <w:t xml:space="preserve"> у населения</w:t>
      </w:r>
      <w:r>
        <w:rPr>
          <w:rFonts w:ascii="Times New Roman" w:hAnsi="Times New Roman" w:cs="Times New Roman"/>
          <w:sz w:val="20"/>
          <w:szCs w:val="20"/>
        </w:rPr>
        <w:t xml:space="preserve"> разных возрастных групп. </w:t>
      </w:r>
      <w:r>
        <w:rPr>
          <w:rFonts w:ascii="Times New Roman" w:hAnsi="Times New Roman" w:cs="Times New Roman"/>
          <w:sz w:val="20"/>
          <w:szCs w:val="20"/>
        </w:rPr>
        <w:t xml:space="preserve">Пандемия COVID</w:t>
      </w:r>
      <w:r>
        <w:rPr>
          <w:rFonts w:ascii="Times New Roman" w:hAnsi="Times New Roman" w:cs="Times New Roman"/>
          <w:sz w:val="20"/>
          <w:szCs w:val="20"/>
        </w:rPr>
        <w:t xml:space="preserve">-19</w:t>
      </w:r>
      <w:r>
        <w:rPr>
          <w:rFonts w:ascii="Times New Roman" w:hAnsi="Times New Roman" w:cs="Times New Roman"/>
          <w:sz w:val="20"/>
          <w:szCs w:val="20"/>
        </w:rPr>
        <w:t xml:space="preserve"> и связанные с ней вынужденная</w:t>
      </w:r>
      <w:r>
        <w:rPr>
          <w:rFonts w:ascii="Times New Roman" w:hAnsi="Times New Roman" w:cs="Times New Roman"/>
          <w:sz w:val="20"/>
          <w:szCs w:val="20"/>
        </w:rPr>
        <w:t xml:space="preserve"> дистанционн</w:t>
      </w:r>
      <w:r>
        <w:rPr>
          <w:rFonts w:ascii="Times New Roman" w:hAnsi="Times New Roman" w:cs="Times New Roman"/>
          <w:sz w:val="20"/>
          <w:szCs w:val="20"/>
        </w:rPr>
        <w:t xml:space="preserve">ая</w:t>
      </w:r>
      <w:r>
        <w:rPr>
          <w:rFonts w:ascii="Times New Roman" w:hAnsi="Times New Roman" w:cs="Times New Roman"/>
          <w:sz w:val="20"/>
          <w:szCs w:val="20"/>
        </w:rPr>
        <w:t xml:space="preserve"> работ</w:t>
      </w:r>
      <w:r>
        <w:rPr>
          <w:rFonts w:ascii="Times New Roman" w:hAnsi="Times New Roman" w:cs="Times New Roman"/>
          <w:sz w:val="20"/>
          <w:szCs w:val="20"/>
        </w:rPr>
        <w:t xml:space="preserve">а и обучение</w:t>
      </w:r>
      <w:r>
        <w:rPr>
          <w:rFonts w:ascii="Times New Roman" w:hAnsi="Times New Roman" w:cs="Times New Roman"/>
          <w:sz w:val="20"/>
          <w:szCs w:val="20"/>
        </w:rPr>
        <w:t xml:space="preserve">, а также </w:t>
      </w:r>
      <w:r>
        <w:rPr>
          <w:rFonts w:ascii="Times New Roman" w:hAnsi="Times New Roman" w:cs="Times New Roman"/>
          <w:sz w:val="20"/>
          <w:szCs w:val="20"/>
        </w:rPr>
        <w:t xml:space="preserve">постоянное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бесконтрольное</w:t>
      </w:r>
      <w:r>
        <w:rPr>
          <w:rFonts w:ascii="Times New Roman" w:hAnsi="Times New Roman" w:cs="Times New Roman"/>
          <w:sz w:val="20"/>
          <w:szCs w:val="20"/>
        </w:rPr>
        <w:t xml:space="preserve"> использование гаджетов</w:t>
      </w:r>
      <w:r>
        <w:rPr>
          <w:rFonts w:ascii="Times New Roman" w:hAnsi="Times New Roman" w:cs="Times New Roman"/>
          <w:sz w:val="20"/>
          <w:szCs w:val="20"/>
        </w:rPr>
        <w:t xml:space="preserve">, привели</w:t>
      </w:r>
      <w:r>
        <w:rPr>
          <w:rFonts w:ascii="Times New Roman" w:hAnsi="Times New Roman" w:cs="Times New Roman"/>
          <w:sz w:val="20"/>
          <w:szCs w:val="20"/>
        </w:rPr>
        <w:t xml:space="preserve"> к резкому росту лиц с миопической рефракцией</w:t>
      </w:r>
      <w:r>
        <w:rPr>
          <w:rFonts w:ascii="Times New Roman" w:hAnsi="Times New Roman" w:cs="Times New Roman"/>
          <w:sz w:val="20"/>
          <w:szCs w:val="20"/>
        </w:rPr>
        <w:t xml:space="preserve">,</w:t>
      </w:r>
      <w:r>
        <w:rPr>
          <w:rFonts w:ascii="Times New Roman" w:hAnsi="Times New Roman" w:cs="Times New Roman"/>
          <w:sz w:val="20"/>
          <w:szCs w:val="20"/>
        </w:rPr>
        <w:t xml:space="preserve"> и стала актуальной проблема раннего развития осложненной миопической катаракты. </w:t>
      </w:r>
      <w:r>
        <w:rPr>
          <w:rFonts w:ascii="Times New Roman" w:hAnsi="Times New Roman" w:cs="Times New Roman"/>
          <w:sz w:val="20"/>
          <w:szCs w:val="20"/>
        </w:rPr>
        <w:t xml:space="preserve">Поэтому</w:t>
      </w:r>
      <w:r>
        <w:rPr>
          <w:rFonts w:ascii="Times New Roman" w:hAnsi="Times New Roman" w:cs="Times New Roman"/>
          <w:sz w:val="20"/>
          <w:szCs w:val="20"/>
        </w:rPr>
        <w:t xml:space="preserve"> возникла</w:t>
      </w:r>
      <w:r>
        <w:rPr>
          <w:rFonts w:ascii="Times New Roman" w:hAnsi="Times New Roman" w:cs="Times New Roman"/>
          <w:sz w:val="20"/>
          <w:szCs w:val="20"/>
        </w:rPr>
        <w:t xml:space="preserve"> необходимость ее коррекции в начальной стадии процесса. Р</w:t>
      </w:r>
      <w:r>
        <w:rPr>
          <w:rFonts w:ascii="Times New Roman" w:hAnsi="Times New Roman" w:cs="Times New Roman"/>
          <w:sz w:val="20"/>
          <w:szCs w:val="20"/>
        </w:rPr>
        <w:t xml:space="preserve">азбираются вопросы патогенеза катаракты</w:t>
      </w:r>
      <w:r>
        <w:rPr>
          <w:rFonts w:ascii="Times New Roman" w:hAnsi="Times New Roman" w:cs="Times New Roman"/>
          <w:sz w:val="20"/>
          <w:szCs w:val="20"/>
        </w:rPr>
        <w:t xml:space="preserve">, зависящие от оксидативного стресса, приводящего</w:t>
      </w:r>
      <w:r>
        <w:rPr>
          <w:rFonts w:ascii="Times New Roman" w:hAnsi="Times New Roman" w:cs="Times New Roman"/>
          <w:sz w:val="20"/>
          <w:szCs w:val="20"/>
        </w:rPr>
        <w:t xml:space="preserve"> к прогрессированию миопии.</w:t>
      </w:r>
      <w:r>
        <w:rPr>
          <w:rFonts w:ascii="Times New Roman" w:hAnsi="Times New Roman" w:cs="Times New Roman"/>
          <w:sz w:val="20"/>
          <w:szCs w:val="20"/>
        </w:rPr>
        <w:t xml:space="preserve"> Дискутируе</w:t>
      </w:r>
      <w:r>
        <w:rPr>
          <w:rFonts w:ascii="Times New Roman" w:hAnsi="Times New Roman" w:cs="Times New Roman"/>
          <w:sz w:val="20"/>
          <w:szCs w:val="20"/>
        </w:rPr>
        <w:t xml:space="preserve">тся проблема необходимости использования медикаментозного лечения с антиоксидантным эффектом</w:t>
      </w:r>
      <w:r>
        <w:rPr>
          <w:rFonts w:ascii="Times New Roman" w:hAnsi="Times New Roman" w:cs="Times New Roman"/>
          <w:sz w:val="20"/>
          <w:szCs w:val="20"/>
        </w:rPr>
        <w:t xml:space="preserve">,</w:t>
      </w:r>
      <w:r>
        <w:rPr>
          <w:rFonts w:ascii="Times New Roman" w:hAnsi="Times New Roman" w:cs="Times New Roman"/>
          <w:sz w:val="20"/>
          <w:szCs w:val="20"/>
        </w:rPr>
        <w:t xml:space="preserve"> как наиболее действенного</w:t>
      </w:r>
      <w:r>
        <w:rPr>
          <w:rFonts w:ascii="Times New Roman" w:hAnsi="Times New Roman" w:cs="Times New Roman"/>
          <w:sz w:val="20"/>
          <w:szCs w:val="20"/>
        </w:rPr>
        <w:t xml:space="preserve">,</w:t>
      </w:r>
      <w:r>
        <w:rPr>
          <w:rFonts w:ascii="Times New Roman" w:hAnsi="Times New Roman" w:cs="Times New Roman"/>
          <w:sz w:val="20"/>
          <w:szCs w:val="20"/>
        </w:rPr>
        <w:t xml:space="preserve"> для замедления развития катаракты у лиц с невозможностью применения </w:t>
      </w:r>
      <w:r>
        <w:rPr>
          <w:rFonts w:ascii="Times New Roman" w:hAnsi="Times New Roman" w:cs="Times New Roman"/>
          <w:sz w:val="20"/>
          <w:szCs w:val="20"/>
        </w:rPr>
        <w:t xml:space="preserve">по каким-либо </w:t>
      </w:r>
      <w:r>
        <w:rPr>
          <w:rFonts w:ascii="Times New Roman" w:hAnsi="Times New Roman" w:cs="Times New Roman"/>
          <w:sz w:val="20"/>
          <w:szCs w:val="20"/>
        </w:rPr>
        <w:t xml:space="preserve">причинам </w:t>
      </w:r>
      <w:r>
        <w:rPr>
          <w:rFonts w:ascii="Times New Roman" w:hAnsi="Times New Roman" w:cs="Times New Roman"/>
          <w:sz w:val="20"/>
          <w:szCs w:val="20"/>
        </w:rPr>
        <w:t xml:space="preserve">ее хирургического</w:t>
      </w:r>
      <w:r>
        <w:rPr>
          <w:rFonts w:ascii="Times New Roman" w:hAnsi="Times New Roman" w:cs="Times New Roman"/>
          <w:sz w:val="20"/>
          <w:szCs w:val="20"/>
        </w:rPr>
        <w:t xml:space="preserve"> лечения. Даются рекомендации для профилактики развития осложненной миопической катаракты.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Ключевые слова: осложненная миопическая катаракта, факторы риска, оксидативный стресс, медикам</w:t>
      </w:r>
      <w:r>
        <w:rPr>
          <w:rFonts w:ascii="Times New Roman" w:hAnsi="Times New Roman" w:cs="Times New Roman"/>
          <w:sz w:val="20"/>
          <w:szCs w:val="20"/>
        </w:rPr>
        <w:t xml:space="preserve">ентозное лечение, антиоксиданты,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COVID</w:t>
      </w:r>
      <w:r>
        <w:rPr>
          <w:rFonts w:ascii="Times New Roman" w:hAnsi="Times New Roman" w:cs="Times New Roman"/>
          <w:sz w:val="20"/>
          <w:szCs w:val="20"/>
        </w:rPr>
        <w:t xml:space="preserve">-19</w:t>
      </w:r>
      <w:r>
        <w:rPr>
          <w:rFonts w:ascii="Times New Roman" w:hAnsi="Times New Roman" w:cs="Times New Roman"/>
          <w:sz w:val="20"/>
          <w:szCs w:val="20"/>
        </w:rPr>
        <w:t xml:space="preserve">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672"/>
        <w:jc w:val="both"/>
        <w:tabs>
          <w:tab w:val="left" w:pos="278" w:leader="none"/>
        </w:tabs>
      </w:pPr>
      <w:r>
        <w:t xml:space="preserve">1 </w:t>
      </w:r>
      <w:r>
        <w:t xml:space="preserve">Введение</w:t>
      </w:r>
      <w:r/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Катаракта, широко распространенное в мире заболевание глаз, приводящее к ухудшению остроты зрения, обуславливает не только медицинскую, но и огромную социальную проблему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[</w:t>
      </w:r>
      <w:r>
        <w:rPr>
          <w:rFonts w:ascii="Times New Roman" w:hAnsi="Times New Roman" w:cs="Times New Roman"/>
          <w:sz w:val="20"/>
          <w:szCs w:val="20"/>
        </w:rPr>
        <w:t xml:space="preserve">1,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2</w:t>
      </w:r>
      <w:r>
        <w:rPr>
          <w:rFonts w:ascii="Times New Roman" w:hAnsi="Times New Roman" w:cs="Times New Roman"/>
          <w:sz w:val="20"/>
          <w:szCs w:val="20"/>
        </w:rPr>
        <w:t xml:space="preserve">]</w:t>
      </w:r>
      <w:r>
        <w:rPr>
          <w:rFonts w:ascii="Times New Roman" w:hAnsi="Times New Roman" w:cs="Times New Roman"/>
          <w:sz w:val="20"/>
          <w:szCs w:val="20"/>
        </w:rPr>
        <w:t xml:space="preserve">. Констатируется, что перенесение</w:t>
      </w:r>
      <w:r>
        <w:rPr>
          <w:rFonts w:ascii="Times New Roman" w:hAnsi="Times New Roman" w:cs="Times New Roman"/>
          <w:sz w:val="20"/>
          <w:szCs w:val="20"/>
        </w:rPr>
        <w:t xml:space="preserve"> населением па</w:t>
      </w:r>
      <w:r>
        <w:rPr>
          <w:rFonts w:ascii="Times New Roman" w:hAnsi="Times New Roman" w:cs="Times New Roman"/>
          <w:sz w:val="20"/>
          <w:szCs w:val="20"/>
        </w:rPr>
        <w:t xml:space="preserve">ндемии COVID–19 и связанное с ней</w:t>
      </w:r>
      <w:r>
        <w:rPr>
          <w:rFonts w:ascii="Times New Roman" w:hAnsi="Times New Roman" w:cs="Times New Roman"/>
          <w:sz w:val="20"/>
          <w:szCs w:val="20"/>
        </w:rPr>
        <w:t xml:space="preserve"> прогрессирование миопии, способствовало увеличению числа лиц молодого возраста с осложненной катарактой</w:t>
      </w:r>
      <w:r>
        <w:rPr>
          <w:rFonts w:ascii="Times New Roman" w:hAnsi="Times New Roman" w:cs="Times New Roman"/>
          <w:sz w:val="20"/>
          <w:szCs w:val="20"/>
        </w:rPr>
        <w:t xml:space="preserve"> [</w:t>
      </w:r>
      <w:r>
        <w:rPr>
          <w:rFonts w:ascii="Times New Roman" w:hAnsi="Times New Roman" w:cs="Times New Roman"/>
          <w:sz w:val="20"/>
          <w:szCs w:val="20"/>
        </w:rPr>
        <w:t xml:space="preserve">5</w:t>
      </w:r>
      <w:r>
        <w:rPr>
          <w:rFonts w:ascii="Times New Roman" w:hAnsi="Times New Roman" w:cs="Times New Roman"/>
          <w:sz w:val="20"/>
          <w:szCs w:val="20"/>
        </w:rPr>
        <w:t xml:space="preserve">–</w:t>
      </w:r>
      <w:r>
        <w:rPr>
          <w:rFonts w:ascii="Times New Roman" w:hAnsi="Times New Roman" w:cs="Times New Roman"/>
          <w:sz w:val="20"/>
          <w:szCs w:val="20"/>
        </w:rPr>
        <w:t xml:space="preserve">10, 16</w:t>
      </w:r>
      <w:r>
        <w:rPr>
          <w:rFonts w:ascii="Times New Roman" w:hAnsi="Times New Roman" w:cs="Times New Roman"/>
          <w:sz w:val="20"/>
          <w:szCs w:val="20"/>
        </w:rPr>
        <w:t xml:space="preserve">].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Катаракта является мультифакторным и полиэтиологич</w:t>
      </w:r>
      <w:r>
        <w:rPr>
          <w:rFonts w:ascii="Times New Roman" w:hAnsi="Times New Roman" w:cs="Times New Roman"/>
          <w:sz w:val="20"/>
          <w:szCs w:val="20"/>
        </w:rPr>
        <w:t xml:space="preserve">еским заболеванием</w:t>
      </w:r>
      <w:r>
        <w:rPr>
          <w:rFonts w:ascii="Times New Roman" w:hAnsi="Times New Roman" w:cs="Times New Roman"/>
          <w:sz w:val="20"/>
          <w:szCs w:val="20"/>
        </w:rPr>
        <w:t xml:space="preserve"> [</w:t>
      </w:r>
      <w:r>
        <w:rPr>
          <w:rFonts w:ascii="Times New Roman" w:hAnsi="Times New Roman" w:cs="Times New Roman"/>
          <w:sz w:val="20"/>
          <w:szCs w:val="20"/>
        </w:rPr>
        <w:t xml:space="preserve">3</w:t>
      </w:r>
      <w:r>
        <w:rPr>
          <w:rFonts w:ascii="Times New Roman" w:hAnsi="Times New Roman" w:cs="Times New Roman"/>
          <w:sz w:val="20"/>
          <w:szCs w:val="20"/>
        </w:rPr>
        <w:t xml:space="preserve">]. В течении жизни человека</w:t>
      </w:r>
      <w:r>
        <w:rPr>
          <w:rFonts w:ascii="Times New Roman" w:hAnsi="Times New Roman" w:cs="Times New Roman"/>
          <w:sz w:val="20"/>
          <w:szCs w:val="20"/>
        </w:rPr>
        <w:t xml:space="preserve"> хрусталик подвергается окислительному стрессу как эндогенными путями, включающими митохондриальное дыхание и окислительный взрыв макрофагов, так и экзогенными, включающими воздействие ультрафиолетовой части спектра, табачного дыма, металлов</w:t>
      </w:r>
      <w:r>
        <w:rPr>
          <w:rFonts w:ascii="Times New Roman" w:hAnsi="Times New Roman" w:cs="Times New Roman"/>
          <w:sz w:val="20"/>
          <w:szCs w:val="20"/>
        </w:rPr>
        <w:t xml:space="preserve">,</w:t>
      </w:r>
      <w:r>
        <w:rPr>
          <w:rFonts w:ascii="Times New Roman" w:hAnsi="Times New Roman" w:cs="Times New Roman"/>
          <w:sz w:val="20"/>
          <w:szCs w:val="20"/>
        </w:rPr>
        <w:t xml:space="preserve"> лекарств и т</w:t>
      </w:r>
      <w:r>
        <w:rPr>
          <w:rFonts w:ascii="Times New Roman" w:hAnsi="Times New Roman" w:cs="Times New Roman"/>
          <w:sz w:val="20"/>
          <w:szCs w:val="20"/>
        </w:rPr>
        <w:t xml:space="preserve"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д. </w:t>
      </w:r>
      <w:r>
        <w:rPr>
          <w:rFonts w:ascii="Times New Roman" w:hAnsi="Times New Roman" w:cs="Times New Roman"/>
          <w:sz w:val="20"/>
          <w:szCs w:val="20"/>
        </w:rPr>
        <w:t xml:space="preserve">[4]</w:t>
      </w:r>
      <w:r>
        <w:rPr>
          <w:rFonts w:ascii="Times New Roman" w:hAnsi="Times New Roman" w:cs="Times New Roman"/>
          <w:sz w:val="20"/>
          <w:szCs w:val="20"/>
        </w:rPr>
        <w:t xml:space="preserve">. Выявлена связь между лазерными рефракционными операциями и ранней миопической катарактой. На </w:t>
      </w:r>
      <w:r>
        <w:rPr>
          <w:rFonts w:ascii="Times New Roman" w:hAnsi="Times New Roman" w:cs="Times New Roman"/>
          <w:sz w:val="20"/>
          <w:szCs w:val="20"/>
        </w:rPr>
        <w:t xml:space="preserve">прогрессирование катаракты влияю</w:t>
      </w:r>
      <w:r>
        <w:rPr>
          <w:rFonts w:ascii="Times New Roman" w:hAnsi="Times New Roman" w:cs="Times New Roman"/>
          <w:sz w:val="20"/>
          <w:szCs w:val="20"/>
        </w:rPr>
        <w:t xml:space="preserve">т неферментативное гликирование, окислительный стресс, полиольный путь метаболизма глюкозы, </w:t>
      </w:r>
      <w:r>
        <w:rPr>
          <w:rFonts w:ascii="Times New Roman" w:hAnsi="Times New Roman" w:cs="Times New Roman"/>
          <w:sz w:val="20"/>
          <w:szCs w:val="20"/>
        </w:rPr>
        <w:t xml:space="preserve">избыток хиноидных субстанций и активация альдо</w:t>
      </w:r>
      <w:r>
        <w:rPr>
          <w:rFonts w:ascii="Times New Roman" w:hAnsi="Times New Roman" w:cs="Times New Roman"/>
          <w:sz w:val="20"/>
          <w:szCs w:val="20"/>
        </w:rPr>
        <w:t xml:space="preserve">зоредуктазы. В клетках происходя</w:t>
      </w:r>
      <w:r>
        <w:rPr>
          <w:rFonts w:ascii="Times New Roman" w:hAnsi="Times New Roman" w:cs="Times New Roman"/>
          <w:sz w:val="20"/>
          <w:szCs w:val="20"/>
        </w:rPr>
        <w:t xml:space="preserve">т обширное повреждение белков под воздействием активных форм кислорода и перекисное окислен</w:t>
      </w:r>
      <w:r>
        <w:rPr>
          <w:rFonts w:ascii="Times New Roman" w:hAnsi="Times New Roman" w:cs="Times New Roman"/>
          <w:sz w:val="20"/>
          <w:szCs w:val="20"/>
        </w:rPr>
        <w:t xml:space="preserve">ие мембранных липидов, вызывающи</w:t>
      </w:r>
      <w:r>
        <w:rPr>
          <w:rFonts w:ascii="Times New Roman" w:hAnsi="Times New Roman" w:cs="Times New Roman"/>
          <w:sz w:val="20"/>
          <w:szCs w:val="20"/>
        </w:rPr>
        <w:t xml:space="preserve">е внутриклеточную агрегац</w:t>
      </w:r>
      <w:r>
        <w:rPr>
          <w:rFonts w:ascii="Times New Roman" w:hAnsi="Times New Roman" w:cs="Times New Roman"/>
          <w:sz w:val="20"/>
          <w:szCs w:val="20"/>
        </w:rPr>
        <w:t xml:space="preserve">ию и осаждение белков, приводяще</w:t>
      </w:r>
      <w:r>
        <w:rPr>
          <w:rFonts w:ascii="Times New Roman" w:hAnsi="Times New Roman" w:cs="Times New Roman"/>
          <w:sz w:val="20"/>
          <w:szCs w:val="20"/>
        </w:rPr>
        <w:t xml:space="preserve">е к помутнению хрусталика </w:t>
      </w:r>
      <w:r>
        <w:rPr>
          <w:rFonts w:ascii="Times New Roman" w:hAnsi="Times New Roman" w:cs="Times New Roman"/>
          <w:sz w:val="20"/>
          <w:szCs w:val="20"/>
        </w:rPr>
        <w:t xml:space="preserve">[3]</w:t>
      </w:r>
      <w:r>
        <w:rPr>
          <w:rFonts w:ascii="Times New Roman" w:hAnsi="Times New Roman" w:cs="Times New Roman"/>
          <w:sz w:val="20"/>
          <w:szCs w:val="20"/>
        </w:rPr>
        <w:t xml:space="preserve">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Миопия является одним из факторов риска развития осложненной катаракты. Выявлено</w:t>
      </w:r>
      <w:r>
        <w:rPr>
          <w:rFonts w:ascii="Times New Roman" w:hAnsi="Times New Roman" w:cs="Times New Roman"/>
          <w:sz w:val="20"/>
          <w:szCs w:val="20"/>
        </w:rPr>
        <w:t xml:space="preserve">,</w:t>
      </w:r>
      <w:r>
        <w:rPr>
          <w:rFonts w:ascii="Times New Roman" w:hAnsi="Times New Roman" w:cs="Times New Roman"/>
          <w:sz w:val="20"/>
          <w:szCs w:val="20"/>
        </w:rPr>
        <w:t xml:space="preserve"> что более 80% подростков в странах Восточной Азии и од</w:t>
      </w:r>
      <w:r>
        <w:rPr>
          <w:rFonts w:ascii="Times New Roman" w:hAnsi="Times New Roman" w:cs="Times New Roman"/>
          <w:sz w:val="20"/>
          <w:szCs w:val="20"/>
        </w:rPr>
        <w:t xml:space="preserve">на треть в Европе и США имею</w:t>
      </w:r>
      <w:r>
        <w:rPr>
          <w:rFonts w:ascii="Times New Roman" w:hAnsi="Times New Roman" w:cs="Times New Roman"/>
          <w:sz w:val="20"/>
          <w:szCs w:val="20"/>
        </w:rPr>
        <w:t xml:space="preserve"> близ</w:t>
      </w:r>
      <w:r>
        <w:rPr>
          <w:rFonts w:ascii="Times New Roman" w:hAnsi="Times New Roman" w:cs="Times New Roman"/>
          <w:sz w:val="20"/>
          <w:szCs w:val="20"/>
        </w:rPr>
        <w:t xml:space="preserve">орукость</w:t>
      </w:r>
      <w:r>
        <w:rPr>
          <w:rFonts w:ascii="Times New Roman" w:hAnsi="Times New Roman" w:cs="Times New Roman"/>
          <w:sz w:val="20"/>
          <w:szCs w:val="20"/>
        </w:rPr>
        <w:t xml:space="preserve"> [</w:t>
      </w:r>
      <w:r>
        <w:rPr>
          <w:rFonts w:ascii="Times New Roman" w:hAnsi="Times New Roman" w:cs="Times New Roman"/>
          <w:sz w:val="20"/>
          <w:szCs w:val="20"/>
        </w:rPr>
        <w:t xml:space="preserve">5–</w:t>
      </w:r>
      <w:r>
        <w:rPr>
          <w:rFonts w:ascii="Times New Roman" w:hAnsi="Times New Roman" w:cs="Times New Roman"/>
          <w:sz w:val="20"/>
          <w:szCs w:val="20"/>
        </w:rPr>
        <w:t xml:space="preserve">8]. К 2050г. ожидаемое число больных с миопией составит 4,9 млрд [</w:t>
      </w:r>
      <w:r>
        <w:rPr>
          <w:rFonts w:ascii="Times New Roman" w:hAnsi="Times New Roman" w:cs="Times New Roman"/>
          <w:sz w:val="20"/>
          <w:szCs w:val="20"/>
        </w:rPr>
        <w:t xml:space="preserve">9, 10</w:t>
      </w:r>
      <w:r>
        <w:rPr>
          <w:rFonts w:ascii="Times New Roman" w:hAnsi="Times New Roman" w:cs="Times New Roman"/>
          <w:sz w:val="20"/>
          <w:szCs w:val="20"/>
        </w:rPr>
        <w:t xml:space="preserve">]. </w:t>
      </w:r>
      <w:r>
        <w:rPr>
          <w:rFonts w:ascii="Times New Roman" w:hAnsi="Times New Roman" w:cs="Times New Roman"/>
          <w:sz w:val="20"/>
          <w:szCs w:val="20"/>
        </w:rPr>
        <w:t xml:space="preserve">К этому</w:t>
      </w:r>
      <w:r>
        <w:rPr>
          <w:rFonts w:ascii="Times New Roman" w:hAnsi="Times New Roman" w:cs="Times New Roman"/>
          <w:sz w:val="20"/>
          <w:szCs w:val="20"/>
        </w:rPr>
        <w:t xml:space="preserve"> привело интенсивное использование гаджетов в связи с пандемией COVID</w:t>
      </w:r>
      <w:r>
        <w:rPr>
          <w:rFonts w:ascii="Times New Roman" w:hAnsi="Times New Roman" w:cs="Times New Roman"/>
          <w:sz w:val="20"/>
          <w:szCs w:val="20"/>
        </w:rPr>
        <w:t xml:space="preserve">–</w:t>
      </w:r>
      <w:r>
        <w:rPr>
          <w:rFonts w:ascii="Times New Roman" w:hAnsi="Times New Roman" w:cs="Times New Roman"/>
          <w:sz w:val="20"/>
          <w:szCs w:val="20"/>
        </w:rPr>
        <w:t xml:space="preserve">19 </w:t>
      </w:r>
      <w:r>
        <w:rPr>
          <w:rFonts w:ascii="Times New Roman" w:hAnsi="Times New Roman" w:cs="Times New Roman"/>
          <w:sz w:val="20"/>
          <w:szCs w:val="20"/>
        </w:rPr>
        <w:t xml:space="preserve">[</w:t>
      </w:r>
      <w:r>
        <w:rPr>
          <w:rFonts w:ascii="Times New Roman" w:hAnsi="Times New Roman" w:cs="Times New Roman"/>
          <w:sz w:val="20"/>
          <w:szCs w:val="20"/>
        </w:rPr>
        <w:t xml:space="preserve">16</w:t>
      </w:r>
      <w:r>
        <w:rPr>
          <w:rFonts w:ascii="Times New Roman" w:hAnsi="Times New Roman" w:cs="Times New Roman"/>
          <w:sz w:val="20"/>
          <w:szCs w:val="20"/>
        </w:rPr>
        <w:t xml:space="preserve">]</w:t>
      </w:r>
      <w:r>
        <w:rPr>
          <w:rFonts w:ascii="Times New Roman" w:hAnsi="Times New Roman" w:cs="Times New Roman"/>
          <w:sz w:val="20"/>
          <w:szCs w:val="20"/>
        </w:rPr>
        <w:t xml:space="preserve">.</w:t>
      </w:r>
      <w:r>
        <w:rPr>
          <w:rFonts w:ascii="Times New Roman" w:hAnsi="Times New Roman" w:cs="Times New Roman"/>
          <w:sz w:val="20"/>
          <w:szCs w:val="20"/>
        </w:rPr>
        <w:t xml:space="preserve"> У лиц с близорукостью возникает осложненная катаракта, приводящая к нарушению остроты зрения [1</w:t>
      </w:r>
      <w:r>
        <w:rPr>
          <w:rFonts w:ascii="Times New Roman" w:hAnsi="Times New Roman" w:cs="Times New Roman"/>
          <w:sz w:val="20"/>
          <w:szCs w:val="20"/>
        </w:rPr>
        <w:t xml:space="preserve">1</w:t>
      </w:r>
      <w:r>
        <w:rPr>
          <w:rFonts w:ascii="Times New Roman" w:hAnsi="Times New Roman" w:cs="Times New Roman"/>
          <w:sz w:val="20"/>
          <w:szCs w:val="20"/>
        </w:rPr>
        <w:t xml:space="preserve">]. Неблагоп</w:t>
      </w:r>
      <w:r>
        <w:rPr>
          <w:rFonts w:ascii="Times New Roman" w:hAnsi="Times New Roman" w:cs="Times New Roman"/>
          <w:sz w:val="20"/>
          <w:szCs w:val="20"/>
        </w:rPr>
        <w:t xml:space="preserve">риятное течение</w:t>
      </w:r>
      <w:r>
        <w:rPr>
          <w:rFonts w:ascii="Times New Roman" w:hAnsi="Times New Roman" w:cs="Times New Roman"/>
          <w:sz w:val="20"/>
          <w:szCs w:val="20"/>
        </w:rPr>
        <w:t xml:space="preserve"> миопии вызывает развитие дистрофических изменений в хрусталике, а о</w:t>
      </w:r>
      <w:r>
        <w:rPr>
          <w:rFonts w:ascii="Times New Roman" w:hAnsi="Times New Roman" w:cs="Times New Roman"/>
          <w:sz w:val="20"/>
          <w:szCs w:val="20"/>
        </w:rPr>
        <w:t xml:space="preserve">сложненная катаракта при</w:t>
      </w:r>
      <w:r>
        <w:rPr>
          <w:rFonts w:ascii="Times New Roman" w:hAnsi="Times New Roman" w:cs="Times New Roman"/>
          <w:sz w:val="20"/>
          <w:szCs w:val="20"/>
        </w:rPr>
        <w:t xml:space="preserve"> близорукости возникает на 10 лет раньше, чем сенильная</w:t>
      </w:r>
      <w:r>
        <w:rPr>
          <w:rFonts w:ascii="Times New Roman" w:hAnsi="Times New Roman" w:cs="Times New Roman"/>
          <w:sz w:val="20"/>
          <w:szCs w:val="20"/>
        </w:rPr>
        <w:t xml:space="preserve"> [15].</w:t>
      </w:r>
      <w:r>
        <w:rPr>
          <w:rFonts w:ascii="Times New Roman" w:hAnsi="Times New Roman" w:cs="Times New Roman"/>
          <w:sz w:val="20"/>
          <w:szCs w:val="20"/>
        </w:rPr>
        <w:t xml:space="preserve"> Доказаны 2 механизма связи между близорукостью и осложненной катарактой. Это более высокий уровень оксидативного стресса, вызванный быстрым разжижением стекловидного тела и снижением уровня глутатиона (антиоксидантного агента) в хрусталике </w:t>
      </w:r>
      <w:r>
        <w:rPr>
          <w:rFonts w:ascii="Times New Roman" w:hAnsi="Times New Roman" w:cs="Times New Roman"/>
          <w:sz w:val="20"/>
          <w:szCs w:val="20"/>
        </w:rPr>
        <w:t xml:space="preserve">близоруких глаз, и высокий уровень побочных продуктов перекисного окисления липидов [1</w:t>
      </w:r>
      <w:r>
        <w:rPr>
          <w:rFonts w:ascii="Times New Roman" w:hAnsi="Times New Roman" w:cs="Times New Roman"/>
          <w:sz w:val="20"/>
          <w:szCs w:val="20"/>
        </w:rPr>
        <w:t xml:space="preserve">7</w:t>
      </w:r>
      <w:r>
        <w:rPr>
          <w:rFonts w:ascii="Times New Roman" w:hAnsi="Times New Roman" w:cs="Times New Roman"/>
          <w:sz w:val="20"/>
          <w:szCs w:val="20"/>
        </w:rPr>
        <w:t xml:space="preserve">]. Иногда хирургическое лечение катаракты у пациентов с близорукостью может оказаться затруднительным</w:t>
      </w:r>
      <w:r>
        <w:rPr>
          <w:rFonts w:ascii="Times New Roman" w:hAnsi="Times New Roman" w:cs="Times New Roman"/>
          <w:sz w:val="20"/>
          <w:szCs w:val="20"/>
        </w:rPr>
        <w:t xml:space="preserve">, тогда необходимо этим</w:t>
      </w:r>
      <w:r>
        <w:rPr>
          <w:rFonts w:ascii="Times New Roman" w:hAnsi="Times New Roman" w:cs="Times New Roman"/>
          <w:sz w:val="20"/>
          <w:szCs w:val="20"/>
        </w:rPr>
        <w:t xml:space="preserve"> больным предлагать альтернативные медикаментозные методы лечения [12–14].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b/>
        </w:rPr>
      </w:pPr>
      <w:r/>
      <w:bookmarkStart w:id="1" w:name="bookmark1"/>
      <w:r/>
      <w:bookmarkEnd w:id="1"/>
      <w:r>
        <w:rPr>
          <w:rFonts w:ascii="Times New Roman" w:hAnsi="Times New Roman" w:cs="Times New Roman"/>
          <w:b/>
        </w:rPr>
        <w:t xml:space="preserve">2 Цель работы</w:t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</w:t>
      </w:r>
      <w:r>
        <w:rPr>
          <w:rFonts w:ascii="Times New Roman" w:hAnsi="Times New Roman" w:cs="Times New Roman"/>
          <w:sz w:val="20"/>
          <w:szCs w:val="20"/>
        </w:rPr>
        <w:t xml:space="preserve">зучение возможности медикаментозного лечения начальной осложненной миопической катаракты</w:t>
      </w:r>
      <w:r>
        <w:rPr>
          <w:rFonts w:ascii="Times New Roman" w:hAnsi="Times New Roman" w:cs="Times New Roman"/>
          <w:sz w:val="20"/>
          <w:szCs w:val="20"/>
        </w:rPr>
        <w:t xml:space="preserve"> на фоне перенесенного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COVID</w:t>
      </w:r>
      <w:r>
        <w:rPr>
          <w:rFonts w:ascii="Times New Roman" w:hAnsi="Times New Roman" w:cs="Times New Roman"/>
          <w:sz w:val="20"/>
          <w:szCs w:val="20"/>
        </w:rPr>
        <w:t xml:space="preserve">-19</w:t>
      </w:r>
      <w:r>
        <w:rPr>
          <w:rFonts w:ascii="Times New Roman" w:hAnsi="Times New Roman" w:cs="Times New Roman"/>
          <w:sz w:val="20"/>
          <w:szCs w:val="20"/>
        </w:rPr>
        <w:t xml:space="preserve">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 Материалы и методы</w:t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Было </w:t>
      </w:r>
      <w:r>
        <w:rPr>
          <w:rFonts w:ascii="Times New Roman" w:hAnsi="Times New Roman" w:cs="Times New Roman"/>
          <w:sz w:val="20"/>
          <w:szCs w:val="20"/>
        </w:rPr>
        <w:t xml:space="preserve">обследовано 58</w:t>
      </w:r>
      <w:r>
        <w:rPr>
          <w:rFonts w:ascii="Times New Roman" w:hAnsi="Times New Roman" w:cs="Times New Roman"/>
          <w:sz w:val="20"/>
          <w:szCs w:val="20"/>
        </w:rPr>
        <w:t xml:space="preserve"> больных с начальной осложненной миопической катарактой в возрасте 19</w:t>
      </w:r>
      <w:r>
        <w:rPr>
          <w:rFonts w:ascii="Times New Roman" w:hAnsi="Times New Roman" w:cs="Times New Roman"/>
          <w:sz w:val="20"/>
          <w:szCs w:val="20"/>
        </w:rPr>
        <w:t xml:space="preserve">–39 </w:t>
      </w:r>
      <w:r>
        <w:rPr>
          <w:rFonts w:ascii="Times New Roman" w:hAnsi="Times New Roman" w:cs="Times New Roman"/>
          <w:sz w:val="20"/>
          <w:szCs w:val="20"/>
        </w:rPr>
        <w:t xml:space="preserve">лет, разделенных на три группы. Первая группа </w:t>
      </w:r>
      <w:r>
        <w:rPr>
          <w:rFonts w:ascii="Times New Roman" w:hAnsi="Times New Roman" w:cs="Times New Roman"/>
          <w:sz w:val="20"/>
          <w:szCs w:val="20"/>
        </w:rPr>
        <w:t xml:space="preserve">– 15 </w:t>
      </w:r>
      <w:r>
        <w:rPr>
          <w:rFonts w:ascii="Times New Roman" w:hAnsi="Times New Roman" w:cs="Times New Roman"/>
          <w:sz w:val="20"/>
          <w:szCs w:val="20"/>
        </w:rPr>
        <w:t xml:space="preserve">человек с миопией слабой степени, вторая</w:t>
      </w:r>
      <w:r>
        <w:rPr>
          <w:rFonts w:ascii="Times New Roman" w:hAnsi="Times New Roman" w:cs="Times New Roman"/>
          <w:sz w:val="20"/>
          <w:szCs w:val="20"/>
        </w:rPr>
        <w:t xml:space="preserve"> – 19</w:t>
      </w:r>
      <w:r>
        <w:rPr>
          <w:rFonts w:ascii="Times New Roman" w:hAnsi="Times New Roman" w:cs="Times New Roman"/>
          <w:sz w:val="20"/>
          <w:szCs w:val="20"/>
        </w:rPr>
        <w:t xml:space="preserve"> человек с миопией средней и третья группа </w:t>
      </w:r>
      <w:r>
        <w:rPr>
          <w:rFonts w:ascii="Times New Roman" w:hAnsi="Times New Roman" w:cs="Times New Roman"/>
          <w:sz w:val="20"/>
          <w:szCs w:val="20"/>
        </w:rPr>
        <w:t xml:space="preserve">– 24 </w:t>
      </w:r>
      <w:r>
        <w:rPr>
          <w:rFonts w:ascii="Times New Roman" w:hAnsi="Times New Roman" w:cs="Times New Roman"/>
          <w:sz w:val="20"/>
          <w:szCs w:val="20"/>
        </w:rPr>
        <w:t xml:space="preserve">человек с миопией высокой степени</w:t>
      </w:r>
      <w:r>
        <w:rPr>
          <w:rFonts w:ascii="Times New Roman" w:hAnsi="Times New Roman" w:cs="Times New Roman"/>
          <w:sz w:val="20"/>
          <w:szCs w:val="20"/>
        </w:rPr>
        <w:t xml:space="preserve">. Все исследуемые лица во время пандемии перенесли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COVID</w:t>
      </w:r>
      <w:r>
        <w:rPr>
          <w:rFonts w:ascii="Times New Roman" w:hAnsi="Times New Roman" w:cs="Times New Roman"/>
          <w:sz w:val="20"/>
          <w:szCs w:val="20"/>
        </w:rPr>
        <w:t xml:space="preserve">-19.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Изучаемому контингенту проводили</w:t>
      </w:r>
      <w:r>
        <w:rPr>
          <w:rFonts w:ascii="Times New Roman" w:hAnsi="Times New Roman" w:cs="Times New Roman"/>
          <w:sz w:val="20"/>
          <w:szCs w:val="20"/>
        </w:rPr>
        <w:t xml:space="preserve">сь визометрия, авторефрактометрия в условиях циклоплегии, компьют</w:t>
      </w:r>
      <w:r>
        <w:rPr>
          <w:rFonts w:ascii="Times New Roman" w:hAnsi="Times New Roman" w:cs="Times New Roman"/>
          <w:sz w:val="20"/>
          <w:szCs w:val="20"/>
        </w:rPr>
        <w:t xml:space="preserve">ерная периметрия, биомикроофтальмоскопия</w:t>
      </w:r>
      <w:r>
        <w:rPr>
          <w:rFonts w:ascii="Times New Roman" w:hAnsi="Times New Roman" w:cs="Times New Roman"/>
          <w:sz w:val="20"/>
          <w:szCs w:val="20"/>
        </w:rPr>
        <w:t xml:space="preserve"> переднего и з</w:t>
      </w:r>
      <w:r>
        <w:rPr>
          <w:rFonts w:ascii="Times New Roman" w:hAnsi="Times New Roman" w:cs="Times New Roman"/>
          <w:sz w:val="20"/>
          <w:szCs w:val="20"/>
        </w:rPr>
        <w:t xml:space="preserve">аднего отделов глаза с </w:t>
      </w:r>
      <w:r>
        <w:rPr>
          <w:rFonts w:ascii="Times New Roman" w:hAnsi="Times New Roman" w:cs="Times New Roman"/>
          <w:sz w:val="20"/>
          <w:szCs w:val="20"/>
        </w:rPr>
        <w:t xml:space="preserve">максимал</w:t>
      </w:r>
      <w:r>
        <w:rPr>
          <w:rFonts w:ascii="Times New Roman" w:hAnsi="Times New Roman" w:cs="Times New Roman"/>
          <w:sz w:val="20"/>
          <w:szCs w:val="20"/>
        </w:rPr>
        <w:t xml:space="preserve">ьным мидриазом и фоторегистрацией</w:t>
      </w:r>
      <w:r>
        <w:rPr>
          <w:rFonts w:ascii="Times New Roman" w:hAnsi="Times New Roman" w:cs="Times New Roman"/>
          <w:sz w:val="20"/>
          <w:szCs w:val="20"/>
        </w:rPr>
        <w:t xml:space="preserve"> изменений в хрусталике</w:t>
      </w:r>
      <w:r>
        <w:rPr>
          <w:rFonts w:ascii="Times New Roman" w:hAnsi="Times New Roman" w:cs="Times New Roman"/>
          <w:sz w:val="20"/>
          <w:szCs w:val="20"/>
        </w:rPr>
        <w:t xml:space="preserve">, и офтальмотонометрия</w:t>
      </w:r>
      <w:r>
        <w:rPr>
          <w:rFonts w:ascii="Times New Roman" w:hAnsi="Times New Roman" w:cs="Times New Roman"/>
          <w:sz w:val="20"/>
          <w:szCs w:val="20"/>
        </w:rPr>
        <w:t xml:space="preserve">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 Результаты исследования</w:t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 </w:t>
      </w:r>
      <w:r>
        <w:rPr>
          <w:rFonts w:ascii="Times New Roman" w:hAnsi="Times New Roman" w:cs="Times New Roman"/>
          <w:sz w:val="20"/>
          <w:szCs w:val="20"/>
        </w:rPr>
        <w:t xml:space="preserve">больных при сборе анамнеза выясняли наличие миопии </w:t>
      </w:r>
      <w:r>
        <w:rPr>
          <w:rFonts w:ascii="Times New Roman" w:hAnsi="Times New Roman" w:cs="Times New Roman"/>
          <w:sz w:val="20"/>
          <w:szCs w:val="20"/>
        </w:rPr>
        <w:t xml:space="preserve">и другой офтальмопатологии</w:t>
      </w:r>
      <w:r>
        <w:rPr>
          <w:rFonts w:ascii="Times New Roman" w:hAnsi="Times New Roman" w:cs="Times New Roman"/>
          <w:sz w:val="20"/>
          <w:szCs w:val="20"/>
        </w:rPr>
        <w:t xml:space="preserve"> у родствен</w:t>
      </w:r>
      <w:r>
        <w:rPr>
          <w:rFonts w:ascii="Times New Roman" w:hAnsi="Times New Roman" w:cs="Times New Roman"/>
          <w:sz w:val="20"/>
          <w:szCs w:val="20"/>
        </w:rPr>
        <w:t xml:space="preserve">ников, п</w:t>
      </w:r>
      <w:r>
        <w:rPr>
          <w:rFonts w:ascii="Times New Roman" w:hAnsi="Times New Roman" w:cs="Times New Roman"/>
          <w:sz w:val="20"/>
          <w:szCs w:val="20"/>
        </w:rPr>
        <w:t xml:space="preserve">еренесение заболевания во время пандемии COVID</w:t>
      </w:r>
      <w:r>
        <w:rPr>
          <w:rFonts w:ascii="Times New Roman" w:hAnsi="Times New Roman" w:cs="Times New Roman"/>
          <w:sz w:val="20"/>
          <w:szCs w:val="20"/>
        </w:rPr>
        <w:t xml:space="preserve">–</w:t>
      </w:r>
      <w:r>
        <w:rPr>
          <w:rFonts w:ascii="Times New Roman" w:hAnsi="Times New Roman" w:cs="Times New Roman"/>
          <w:sz w:val="20"/>
          <w:szCs w:val="20"/>
        </w:rPr>
        <w:t xml:space="preserve">19, временные параметры зрительной нагрузки при работе с гаджетами, выраженность компьютерного зрительного синдрома, наличие </w:t>
      </w:r>
      <w:r>
        <w:rPr>
          <w:rFonts w:ascii="Times New Roman" w:hAnsi="Times New Roman" w:cs="Times New Roman"/>
          <w:sz w:val="20"/>
          <w:szCs w:val="20"/>
        </w:rPr>
        <w:t xml:space="preserve">профессиональных вредностей и </w:t>
      </w:r>
      <w:r>
        <w:rPr>
          <w:rFonts w:ascii="Times New Roman" w:hAnsi="Times New Roman" w:cs="Times New Roman"/>
          <w:sz w:val="20"/>
          <w:szCs w:val="20"/>
        </w:rPr>
        <w:t xml:space="preserve">вредных привычек. Было определено</w:t>
      </w:r>
      <w:r>
        <w:rPr>
          <w:rFonts w:ascii="Times New Roman" w:hAnsi="Times New Roman" w:cs="Times New Roman"/>
          <w:sz w:val="20"/>
          <w:szCs w:val="20"/>
        </w:rPr>
        <w:t xml:space="preserve">,</w:t>
      </w:r>
      <w:r>
        <w:rPr>
          <w:rFonts w:ascii="Times New Roman" w:hAnsi="Times New Roman" w:cs="Times New Roman"/>
          <w:sz w:val="20"/>
          <w:szCs w:val="20"/>
        </w:rPr>
        <w:t xml:space="preserve"> что у всех пациентов с начальной стадией осложненной катаракты на фоне миопии имелся отягощенный анамнез на фоне наследственной предрасположенности.</w:t>
      </w:r>
      <w:r>
        <w:rPr>
          <w:rFonts w:ascii="Times New Roman" w:hAnsi="Times New Roman" w:cs="Times New Roman"/>
          <w:sz w:val="20"/>
          <w:szCs w:val="20"/>
        </w:rPr>
        <w:t xml:space="preserve"> Было выяснено, что зри</w:t>
      </w:r>
      <w:r>
        <w:rPr>
          <w:rFonts w:ascii="Times New Roman" w:hAnsi="Times New Roman" w:cs="Times New Roman"/>
          <w:sz w:val="20"/>
          <w:szCs w:val="20"/>
        </w:rPr>
        <w:t xml:space="preserve">тельная нагрузка у лиц всех трех групп во время пандемии составила от 8 до 14 часов в день, а после пандемии она сократилась - от 6 до 10 часов. У всех пациентов имелся компьютерный зрительный синдром, объединяющий признаки аккомодативной астенопии и втори</w:t>
      </w:r>
      <w:r>
        <w:rPr>
          <w:rFonts w:ascii="Times New Roman" w:hAnsi="Times New Roman" w:cs="Times New Roman"/>
          <w:sz w:val="20"/>
          <w:szCs w:val="20"/>
        </w:rPr>
        <w:t xml:space="preserve">чного синдрома «сухого глаза», возникающий при длительной работе с цифровыми устройствами. Он был разной степени выраженности и купировался применением препаратов искусственной слезы. Прогрессирование близорукости отмечалось у исследуемых всех трех групп. </w:t>
      </w:r>
      <w:r>
        <w:rPr>
          <w:rFonts w:ascii="Times New Roman" w:hAnsi="Times New Roman" w:cs="Times New Roman"/>
          <w:sz w:val="20"/>
          <w:szCs w:val="20"/>
        </w:rPr>
        <w:t xml:space="preserve">И</w:t>
      </w:r>
      <w:r>
        <w:rPr>
          <w:rFonts w:ascii="Times New Roman" w:hAnsi="Times New Roman" w:cs="Times New Roman"/>
          <w:sz w:val="20"/>
          <w:szCs w:val="20"/>
        </w:rPr>
        <w:t xml:space="preserve">зменение</w:t>
      </w:r>
      <w:r>
        <w:rPr>
          <w:rFonts w:ascii="Times New Roman" w:hAnsi="Times New Roman" w:cs="Times New Roman"/>
          <w:sz w:val="20"/>
          <w:szCs w:val="20"/>
        </w:rPr>
        <w:t xml:space="preserve"> структуры хрусталика при прогрессировании близорукости у пациентов первой группы проявлялось в </w:t>
      </w:r>
      <w:r>
        <w:rPr>
          <w:rFonts w:ascii="Times New Roman" w:hAnsi="Times New Roman" w:cs="Times New Roman"/>
          <w:sz w:val="20"/>
          <w:szCs w:val="20"/>
        </w:rPr>
        <w:t xml:space="preserve">уплотнении</w:t>
      </w:r>
      <w:r>
        <w:rPr>
          <w:rFonts w:ascii="Times New Roman" w:hAnsi="Times New Roman" w:cs="Times New Roman"/>
          <w:sz w:val="20"/>
          <w:szCs w:val="20"/>
        </w:rPr>
        <w:t xml:space="preserve"> швов хрусталика</w:t>
      </w:r>
      <w:r>
        <w:rPr>
          <w:rFonts w:ascii="Times New Roman" w:hAnsi="Times New Roman" w:cs="Times New Roman"/>
          <w:sz w:val="20"/>
          <w:szCs w:val="20"/>
        </w:rPr>
        <w:t xml:space="preserve"> и наличием на его периферии локальных зон снижения прозрачности</w:t>
      </w:r>
      <w:r>
        <w:rPr>
          <w:rFonts w:ascii="Times New Roman" w:hAnsi="Times New Roman" w:cs="Times New Roman"/>
          <w:sz w:val="20"/>
          <w:szCs w:val="20"/>
        </w:rPr>
        <w:t xml:space="preserve">. У</w:t>
      </w:r>
      <w:r>
        <w:rPr>
          <w:rFonts w:ascii="Times New Roman" w:hAnsi="Times New Roman" w:cs="Times New Roman"/>
          <w:sz w:val="20"/>
          <w:szCs w:val="20"/>
        </w:rPr>
        <w:t xml:space="preserve"> второй и третьей групп</w:t>
      </w:r>
      <w:r>
        <w:rPr>
          <w:rFonts w:ascii="Times New Roman" w:hAnsi="Times New Roman" w:cs="Times New Roman"/>
          <w:sz w:val="20"/>
          <w:szCs w:val="20"/>
        </w:rPr>
        <w:t xml:space="preserve"> число лиц с </w:t>
      </w:r>
      <w:r>
        <w:rPr>
          <w:rFonts w:ascii="Times New Roman" w:hAnsi="Times New Roman" w:cs="Times New Roman"/>
          <w:sz w:val="20"/>
          <w:szCs w:val="20"/>
        </w:rPr>
        <w:t xml:space="preserve">прогрессированием</w:t>
      </w:r>
      <w:r>
        <w:rPr>
          <w:rFonts w:ascii="Times New Roman" w:hAnsi="Times New Roman" w:cs="Times New Roman"/>
          <w:sz w:val="20"/>
          <w:szCs w:val="20"/>
        </w:rPr>
        <w:t xml:space="preserve"> начальной катаракты увеличивалось в зависимости от степени тяжести миопии.</w:t>
      </w:r>
      <w:r>
        <w:rPr>
          <w:rFonts w:ascii="Times New Roman" w:hAnsi="Times New Roman" w:cs="Times New Roman"/>
          <w:sz w:val="20"/>
          <w:szCs w:val="20"/>
        </w:rPr>
        <w:t xml:space="preserve"> В хрусталике отмечались уплотнение швов,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выявлялись помутнения в субкапсулярных и кортикальных слоях </w:t>
      </w:r>
      <w:r>
        <w:rPr>
          <w:rFonts w:ascii="Times New Roman" w:hAnsi="Times New Roman" w:cs="Times New Roman"/>
          <w:sz w:val="20"/>
          <w:szCs w:val="20"/>
        </w:rPr>
        <w:t xml:space="preserve">(рис. 1)</w:t>
      </w:r>
      <w:r>
        <w:rPr>
          <w:rFonts w:ascii="Times New Roman" w:hAnsi="Times New Roman" w:cs="Times New Roman"/>
          <w:sz w:val="20"/>
          <w:szCs w:val="20"/>
        </w:rPr>
        <w:t xml:space="preserve">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 наличии современных продвинутых условий экстракции незрелой кат</w:t>
      </w:r>
      <w:r>
        <w:rPr>
          <w:rFonts w:ascii="Times New Roman" w:hAnsi="Times New Roman" w:cs="Times New Roman"/>
          <w:sz w:val="20"/>
          <w:szCs w:val="20"/>
        </w:rPr>
        <w:t xml:space="preserve">аракты</w:t>
      </w:r>
      <w:r>
        <w:rPr>
          <w:rFonts w:ascii="Times New Roman" w:hAnsi="Times New Roman" w:cs="Times New Roman"/>
          <w:sz w:val="20"/>
          <w:szCs w:val="20"/>
        </w:rPr>
        <w:t xml:space="preserve"> показано ее хирургическое лечение — факоэмульсификация с имплантацией искусственного хрусталика. Однако некоторым больным,</w:t>
      </w:r>
      <w:r>
        <w:rPr>
          <w:rFonts w:ascii="Times New Roman" w:hAnsi="Times New Roman" w:cs="Times New Roman"/>
          <w:sz w:val="20"/>
          <w:szCs w:val="20"/>
        </w:rPr>
        <w:t xml:space="preserve"> имеющим</w:t>
      </w:r>
      <w:r>
        <w:rPr>
          <w:rFonts w:ascii="Times New Roman" w:hAnsi="Times New Roman" w:cs="Times New Roman"/>
          <w:sz w:val="20"/>
          <w:szCs w:val="20"/>
        </w:rPr>
        <w:t xml:space="preserve"> временные противопоказания для оперативного лечения из-за наличия другой глазной или соматической патологии и риск</w:t>
      </w:r>
      <w:r>
        <w:rPr>
          <w:rFonts w:ascii="Times New Roman" w:hAnsi="Times New Roman" w:cs="Times New Roman"/>
          <w:sz w:val="20"/>
          <w:szCs w:val="20"/>
        </w:rPr>
        <w:t xml:space="preserve">а после операционных осложнений, было предложено</w:t>
      </w:r>
      <w:r>
        <w:rPr>
          <w:rFonts w:ascii="Times New Roman" w:hAnsi="Times New Roman" w:cs="Times New Roman"/>
          <w:sz w:val="20"/>
          <w:szCs w:val="20"/>
        </w:rPr>
        <w:t xml:space="preserve"> медикаментозного лечения катаракты</w:t>
      </w:r>
      <w:r>
        <w:rPr>
          <w:rFonts w:ascii="Times New Roman" w:hAnsi="Times New Roman" w:cs="Times New Roman"/>
          <w:sz w:val="20"/>
          <w:szCs w:val="20"/>
        </w:rPr>
        <w:t xml:space="preserve">. Назначаемое им</w:t>
      </w:r>
      <w:r>
        <w:rPr>
          <w:rFonts w:ascii="Times New Roman" w:hAnsi="Times New Roman" w:cs="Times New Roman"/>
          <w:sz w:val="20"/>
          <w:szCs w:val="20"/>
        </w:rPr>
        <w:t xml:space="preserve"> лечение замедляло, а иногда и останавливало прогрессирование </w:t>
      </w:r>
      <w:r>
        <w:rPr>
          <w:rFonts w:ascii="Times New Roman" w:hAnsi="Times New Roman" w:cs="Times New Roman"/>
          <w:sz w:val="20"/>
          <w:szCs w:val="20"/>
        </w:rPr>
        <w:t xml:space="preserve">осложненной катаракты </w:t>
      </w:r>
      <w:r>
        <w:rPr>
          <w:rFonts w:ascii="Times New Roman" w:hAnsi="Times New Roman" w:cs="Times New Roman"/>
          <w:sz w:val="20"/>
          <w:szCs w:val="20"/>
        </w:rPr>
        <w:t xml:space="preserve">- это были антиоксиданты, ингибиторы альдозоредуктазы и сульфгидрильные ингибиторы хиноидных соединений. Данные препараты улучшают обменные процессы в хрусталике, корректируют биохимические сдвиги, стабилизируют метаболизм и окислительно-восстановительный</w:t>
      </w:r>
      <w:r>
        <w:rPr>
          <w:rFonts w:ascii="Times New Roman" w:hAnsi="Times New Roman" w:cs="Times New Roman"/>
          <w:sz w:val="20"/>
          <w:szCs w:val="20"/>
        </w:rPr>
        <w:t xml:space="preserve"> баланс</w:t>
      </w:r>
      <w:r>
        <w:rPr>
          <w:rFonts w:ascii="Times New Roman" w:hAnsi="Times New Roman" w:cs="Times New Roman"/>
          <w:sz w:val="20"/>
          <w:szCs w:val="20"/>
        </w:rPr>
        <w:t xml:space="preserve">. Такая</w:t>
      </w:r>
      <w:r>
        <w:rPr>
          <w:rFonts w:ascii="Times New Roman" w:hAnsi="Times New Roman" w:cs="Times New Roman"/>
          <w:sz w:val="20"/>
          <w:szCs w:val="20"/>
        </w:rPr>
        <w:t xml:space="preserve"> терапия предупреждает прогрессирование помутнений </w:t>
      </w:r>
      <w:r>
        <w:rPr>
          <w:rFonts w:ascii="Times New Roman" w:hAnsi="Times New Roman" w:cs="Times New Roman"/>
          <w:sz w:val="20"/>
          <w:szCs w:val="20"/>
        </w:rPr>
        <w:t xml:space="preserve">хрусталика</w:t>
      </w:r>
      <w:r>
        <w:rPr>
          <w:rFonts w:ascii="Times New Roman" w:hAnsi="Times New Roman" w:cs="Times New Roman"/>
          <w:sz w:val="20"/>
          <w:szCs w:val="20"/>
        </w:rPr>
        <w:t xml:space="preserve"> в</w:t>
      </w:r>
      <w:r>
        <w:rPr>
          <w:rFonts w:ascii="Times New Roman" w:hAnsi="Times New Roman" w:cs="Times New Roman"/>
          <w:sz w:val="20"/>
          <w:szCs w:val="20"/>
        </w:rPr>
        <w:t xml:space="preserve"> начальной стадии </w:t>
      </w:r>
      <w:r>
        <w:rPr>
          <w:rFonts w:ascii="Times New Roman" w:hAnsi="Times New Roman" w:cs="Times New Roman"/>
          <w:sz w:val="20"/>
          <w:szCs w:val="20"/>
        </w:rPr>
        <w:t xml:space="preserve">катаракты и на </w:t>
      </w:r>
      <w:r>
        <w:rPr>
          <w:rFonts w:ascii="Times New Roman" w:hAnsi="Times New Roman" w:cs="Times New Roman"/>
          <w:sz w:val="20"/>
          <w:szCs w:val="20"/>
        </w:rPr>
        <w:t xml:space="preserve">длительный период приостанавливает ее развитие</w:t>
      </w:r>
      <w:r>
        <w:rPr>
          <w:rFonts w:ascii="Times New Roman" w:hAnsi="Times New Roman" w:cs="Times New Roman"/>
          <w:sz w:val="20"/>
          <w:szCs w:val="20"/>
        </w:rPr>
        <w:t xml:space="preserve"> [3, 4].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исследовании пациентов всех трех групп</w:t>
      </w:r>
      <w:r>
        <w:rPr>
          <w:rFonts w:ascii="Times New Roman" w:hAnsi="Times New Roman" w:cs="Times New Roman"/>
          <w:sz w:val="20"/>
          <w:szCs w:val="20"/>
        </w:rPr>
        <w:t xml:space="preserve"> через 6 месяцев</w:t>
      </w:r>
      <w:r>
        <w:rPr>
          <w:rFonts w:ascii="Times New Roman" w:hAnsi="Times New Roman" w:cs="Times New Roman"/>
          <w:sz w:val="20"/>
          <w:szCs w:val="20"/>
        </w:rPr>
        <w:t xml:space="preserve"> назначения антиоксидантов общего и местного применения, данные биомикроофтальмоскопии в условиях максимального мидриаза с фоторегистрацией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показали стабилизацию процесса</w:t>
      </w:r>
      <w:r>
        <w:rPr>
          <w:rFonts w:ascii="Times New Roman" w:hAnsi="Times New Roman" w:cs="Times New Roman"/>
          <w:sz w:val="20"/>
          <w:szCs w:val="20"/>
        </w:rPr>
        <w:t xml:space="preserve"> в передних и задних кортикальных слоях и </w:t>
      </w:r>
      <w:r>
        <w:rPr>
          <w:rFonts w:ascii="Times New Roman" w:hAnsi="Times New Roman" w:cs="Times New Roman"/>
          <w:sz w:val="20"/>
          <w:szCs w:val="20"/>
        </w:rPr>
        <w:t xml:space="preserve">задней капсуле хрусталика. Острота зрения не менялась. Через 12 месяцев 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всех больных наличие</w:t>
      </w:r>
      <w:r>
        <w:rPr>
          <w:rFonts w:ascii="Times New Roman" w:hAnsi="Times New Roman" w:cs="Times New Roman"/>
          <w:sz w:val="20"/>
          <w:szCs w:val="20"/>
        </w:rPr>
        <w:t xml:space="preserve"> помутнений в кортикальных слоях хрусталика</w:t>
      </w:r>
      <w:r>
        <w:rPr>
          <w:rFonts w:ascii="Times New Roman" w:hAnsi="Times New Roman" w:cs="Times New Roman"/>
          <w:sz w:val="20"/>
          <w:szCs w:val="20"/>
        </w:rPr>
        <w:t xml:space="preserve"> не нарастало</w:t>
      </w:r>
      <w:r>
        <w:rPr>
          <w:rFonts w:ascii="Times New Roman" w:hAnsi="Times New Roman" w:cs="Times New Roman"/>
          <w:sz w:val="20"/>
          <w:szCs w:val="20"/>
        </w:rPr>
        <w:t xml:space="preserve">.</w:t>
      </w:r>
      <w:r>
        <w:rPr>
          <w:rFonts w:ascii="Times New Roman" w:hAnsi="Times New Roman" w:cs="Times New Roman"/>
          <w:sz w:val="20"/>
          <w:szCs w:val="20"/>
        </w:rPr>
        <w:t xml:space="preserve"> Острота зрения не ухудшилась, что говорит о стабилизации процесса катарактогенеза. В связи с вышеизложенным был сделан вывод, что местное и пероральное применение антиоксидантов </w:t>
      </w:r>
      <w:r>
        <w:rPr>
          <w:rFonts w:ascii="Times New Roman" w:hAnsi="Times New Roman" w:cs="Times New Roman"/>
          <w:sz w:val="20"/>
          <w:szCs w:val="20"/>
        </w:rPr>
        <w:t xml:space="preserve">пер</w:t>
      </w:r>
      <w:r>
        <w:rPr>
          <w:rFonts w:ascii="Times New Roman" w:hAnsi="Times New Roman" w:cs="Times New Roman"/>
          <w:sz w:val="20"/>
          <w:szCs w:val="20"/>
        </w:rPr>
        <w:t xml:space="preserve">спектив</w:t>
      </w:r>
      <w:r>
        <w:rPr>
          <w:rFonts w:ascii="Times New Roman" w:hAnsi="Times New Roman" w:cs="Times New Roman"/>
          <w:sz w:val="20"/>
          <w:szCs w:val="20"/>
        </w:rPr>
        <w:t xml:space="preserve">н</w:t>
      </w:r>
      <w:r>
        <w:rPr>
          <w:rFonts w:ascii="Times New Roman" w:hAnsi="Times New Roman" w:cs="Times New Roman"/>
          <w:sz w:val="20"/>
          <w:szCs w:val="20"/>
        </w:rPr>
        <w:t xml:space="preserve">о</w:t>
      </w:r>
      <w:r>
        <w:rPr>
          <w:rFonts w:ascii="Times New Roman" w:hAnsi="Times New Roman" w:cs="Times New Roman"/>
          <w:sz w:val="20"/>
          <w:szCs w:val="20"/>
        </w:rPr>
        <w:t xml:space="preserve"> для </w:t>
      </w:r>
      <w:r>
        <w:rPr>
          <w:rFonts w:ascii="Times New Roman" w:hAnsi="Times New Roman" w:cs="Times New Roman"/>
          <w:sz w:val="20"/>
          <w:szCs w:val="20"/>
        </w:rPr>
        <w:t xml:space="preserve">более глубокого </w:t>
      </w:r>
      <w:r>
        <w:rPr>
          <w:rFonts w:ascii="Times New Roman" w:hAnsi="Times New Roman" w:cs="Times New Roman"/>
          <w:sz w:val="20"/>
          <w:szCs w:val="20"/>
        </w:rPr>
        <w:t xml:space="preserve">изучения с целью профилактики прогрессирования начальных проявлений осложненной миопической катаракты</w:t>
      </w:r>
      <w:r>
        <w:rPr>
          <w:rFonts w:ascii="Times New Roman" w:hAnsi="Times New Roman" w:cs="Times New Roman"/>
          <w:sz w:val="20"/>
          <w:szCs w:val="20"/>
        </w:rPr>
        <w:t xml:space="preserve"> у молодых людей, перенесших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COVID</w:t>
      </w:r>
      <w:r>
        <w:rPr>
          <w:rFonts w:ascii="Times New Roman" w:hAnsi="Times New Roman" w:cs="Times New Roman"/>
          <w:sz w:val="20"/>
          <w:szCs w:val="20"/>
        </w:rPr>
        <w:t xml:space="preserve">-19</w:t>
      </w:r>
      <w:r>
        <w:rPr>
          <w:rFonts w:ascii="Times New Roman" w:hAnsi="Times New Roman" w:cs="Times New Roman"/>
          <w:sz w:val="20"/>
          <w:szCs w:val="20"/>
        </w:rPr>
        <w:t xml:space="preserve">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 Заключение</w:t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Увеличение количества лиц</w:t>
      </w:r>
      <w:r>
        <w:rPr>
          <w:rFonts w:ascii="Times New Roman" w:hAnsi="Times New Roman" w:cs="Times New Roman"/>
          <w:sz w:val="20"/>
          <w:szCs w:val="20"/>
        </w:rPr>
        <w:t xml:space="preserve"> с миопической рефракцией в связи с неконтролируемой зрительной нагрузкой при работе с гаджетами</w:t>
      </w:r>
      <w:r>
        <w:rPr>
          <w:rFonts w:ascii="Times New Roman" w:hAnsi="Times New Roman" w:cs="Times New Roman"/>
          <w:sz w:val="20"/>
          <w:szCs w:val="20"/>
        </w:rPr>
        <w:t xml:space="preserve"> в</w:t>
      </w:r>
      <w:r>
        <w:rPr>
          <w:rFonts w:ascii="Times New Roman" w:hAnsi="Times New Roman" w:cs="Times New Roman"/>
          <w:sz w:val="20"/>
          <w:szCs w:val="20"/>
        </w:rPr>
        <w:t xml:space="preserve">следствие пандемии COVID–19, приводит</w:t>
      </w:r>
      <w:r>
        <w:rPr>
          <w:rFonts w:ascii="Times New Roman" w:hAnsi="Times New Roman" w:cs="Times New Roman"/>
          <w:sz w:val="20"/>
          <w:szCs w:val="20"/>
        </w:rPr>
        <w:t xml:space="preserve"> к нарастанию числа пациентов</w:t>
      </w:r>
      <w:r>
        <w:rPr>
          <w:rFonts w:ascii="Times New Roman" w:hAnsi="Times New Roman" w:cs="Times New Roman"/>
          <w:sz w:val="20"/>
          <w:szCs w:val="20"/>
        </w:rPr>
        <w:t xml:space="preserve"> с осложненной миопической катарактой. </w:t>
      </w:r>
      <w:r>
        <w:rPr>
          <w:rFonts w:ascii="Times New Roman" w:hAnsi="Times New Roman" w:cs="Times New Roman"/>
          <w:sz w:val="20"/>
          <w:szCs w:val="20"/>
        </w:rPr>
        <w:t xml:space="preserve">Поэтому необходимо проводить раннюю диагностику начальной миопической катаракты с обязательным исследованием хрусталика при максимальном мидриазе у всех больных с миопией для своевременного выявления начальных помутнений хрусталика. Целесообразен</w:t>
      </w:r>
      <w:r>
        <w:rPr>
          <w:rFonts w:ascii="Times New Roman" w:hAnsi="Times New Roman" w:cs="Times New Roman"/>
          <w:sz w:val="20"/>
          <w:szCs w:val="20"/>
        </w:rPr>
        <w:t xml:space="preserve"> поиск перспективных медикаментозных методов лечения</w:t>
      </w:r>
      <w:r>
        <w:rPr>
          <w:rFonts w:ascii="Times New Roman" w:hAnsi="Times New Roman" w:cs="Times New Roman"/>
          <w:sz w:val="20"/>
          <w:szCs w:val="20"/>
        </w:rPr>
        <w:t xml:space="preserve">,</w:t>
      </w:r>
      <w:r>
        <w:rPr>
          <w:rFonts w:ascii="Times New Roman" w:hAnsi="Times New Roman" w:cs="Times New Roman"/>
          <w:sz w:val="20"/>
          <w:szCs w:val="20"/>
        </w:rPr>
        <w:t xml:space="preserve"> замедляющих развитие катаракты</w:t>
      </w:r>
      <w:r>
        <w:rPr>
          <w:rFonts w:ascii="Times New Roman" w:hAnsi="Times New Roman" w:cs="Times New Roman"/>
          <w:sz w:val="20"/>
          <w:szCs w:val="20"/>
        </w:rPr>
        <w:t xml:space="preserve">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что </w:t>
      </w:r>
      <w:r>
        <w:rPr>
          <w:rFonts w:ascii="Times New Roman" w:hAnsi="Times New Roman" w:cs="Times New Roman"/>
          <w:sz w:val="20"/>
          <w:szCs w:val="20"/>
        </w:rPr>
        <w:t xml:space="preserve">имеет не только актуальное медицинское, но и социальное значение. </w:t>
      </w:r>
      <w:r>
        <w:rPr>
          <w:rFonts w:ascii="Times New Roman" w:hAnsi="Times New Roman" w:cs="Times New Roman"/>
          <w:sz w:val="20"/>
          <w:szCs w:val="20"/>
        </w:rPr>
        <w:t xml:space="preserve">Рекомендуется назначение антиоксидантного лечения молодым людям с прогрессирующей миопией и перенесшим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COVID</w:t>
      </w:r>
      <w:r>
        <w:rPr>
          <w:rFonts w:ascii="Times New Roman" w:hAnsi="Times New Roman" w:cs="Times New Roman"/>
          <w:sz w:val="20"/>
          <w:szCs w:val="20"/>
        </w:rPr>
        <w:t xml:space="preserve">-19</w:t>
      </w:r>
      <w:r>
        <w:rPr>
          <w:rFonts w:ascii="Times New Roman" w:hAnsi="Times New Roman" w:cs="Times New Roman"/>
          <w:sz w:val="20"/>
          <w:szCs w:val="20"/>
        </w:rPr>
        <w:t xml:space="preserve"> с целью профилактики возникновения миопической катаракты. Терапевтическая профилактика прогрессирования осложненной катаракты у лиц с миопией, для которых х</w:t>
      </w:r>
      <w:r>
        <w:rPr>
          <w:rFonts w:ascii="Times New Roman" w:hAnsi="Times New Roman" w:cs="Times New Roman"/>
          <w:sz w:val="20"/>
          <w:szCs w:val="20"/>
        </w:rPr>
        <w:t xml:space="preserve">ирургическое лечение невозможно из-за различных причин, способствует снижению риска осложнений, приводящих к инвалидности по зрению лиц молодых возрастов. Предложенное лечение с назначением антиоксидантов общего и местного применения, благоприятно влияющее</w:t>
      </w:r>
      <w:r>
        <w:rPr>
          <w:rFonts w:ascii="Times New Roman" w:hAnsi="Times New Roman" w:cs="Times New Roman"/>
          <w:sz w:val="20"/>
          <w:szCs w:val="20"/>
        </w:rPr>
        <w:t xml:space="preserve"> на замедление прогрессирования осложненной миопической катаракты в начальной ее стадии</w:t>
      </w:r>
      <w:r>
        <w:rPr>
          <w:rFonts w:ascii="Times New Roman" w:hAnsi="Times New Roman" w:cs="Times New Roman"/>
          <w:sz w:val="20"/>
          <w:szCs w:val="20"/>
        </w:rPr>
        <w:t xml:space="preserve">,</w:t>
      </w:r>
      <w:r>
        <w:rPr>
          <w:rFonts w:ascii="Times New Roman" w:hAnsi="Times New Roman" w:cs="Times New Roman"/>
          <w:sz w:val="20"/>
          <w:szCs w:val="20"/>
        </w:rPr>
        <w:t xml:space="preserve"> несомненно </w:t>
      </w:r>
      <w:r>
        <w:rPr>
          <w:rFonts w:ascii="Times New Roman" w:hAnsi="Times New Roman" w:cs="Times New Roman"/>
          <w:sz w:val="20"/>
          <w:szCs w:val="20"/>
        </w:rPr>
        <w:t xml:space="preserve">будет способствовать улучшению качества</w:t>
      </w:r>
      <w:r>
        <w:rPr>
          <w:rFonts w:ascii="Times New Roman" w:hAnsi="Times New Roman" w:cs="Times New Roman"/>
          <w:sz w:val="20"/>
          <w:szCs w:val="20"/>
        </w:rPr>
        <w:t xml:space="preserve"> жизни больных с данной патологией.</w:t>
      </w:r>
      <w:r>
        <w:rPr>
          <w:rFonts w:ascii="Times New Roman" w:hAnsi="Times New Roman" w:cs="Times New Roman"/>
          <w:sz w:val="20"/>
          <w:szCs w:val="20"/>
        </w:rPr>
        <w:t xml:space="preserve"> Необходимо более углубленное изучение влияния антиоксидантов в лечении пациентов с начальной стадией миопической катаракты на фоне перенесенного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COVID</w:t>
      </w:r>
      <w:r>
        <w:rPr>
          <w:rFonts w:ascii="Times New Roman" w:hAnsi="Times New Roman" w:cs="Times New Roman"/>
          <w:sz w:val="20"/>
          <w:szCs w:val="20"/>
        </w:rPr>
        <w:t xml:space="preserve">-19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Рисунки</w:t>
      </w:r>
      <w:r>
        <w:rPr>
          <w:rFonts w:ascii="Times New Roman" w:hAnsi="Times New Roman" w:cs="Times New Roman"/>
          <w:b/>
        </w:rPr>
      </w:r>
    </w:p>
    <w:p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line="1" w:lineRule="exact"/>
        <w:rPr>
          <w:sz w:val="2"/>
          <w:szCs w:val="2"/>
        </w:rPr>
      </w:pPr>
      <w:r>
        <w:t xml:space="preserve">6</w:t>
      </w:r>
      <w:r>
        <w:t xml:space="preserve"> Рисунки</w:t>
      </w:r>
      <w:r>
        <w:rPr>
          <w:sz w:val="2"/>
          <w:szCs w:val="2"/>
        </w:rPr>
      </w:r>
    </w:p>
    <w:p>
      <w:pPr>
        <w:pStyle w:val="672"/>
        <w:jc w:val="both"/>
      </w:pPr>
      <w:r>
        <w:rPr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479025" cy="8362149"/>
                <wp:effectExtent l="0" t="0" r="0" b="1270"/>
                <wp:docPr id="2" name="Рисунок 3" descr="D:\Документы - Игорь\Desktop\фотоглаз\fig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Документы - Игорь\Desktop\фотоглаз\fig-1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2488185" cy="83930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95.20pt;height:658.44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/>
    </w:p>
    <w:p>
      <w:pPr>
        <w:jc w:val="both"/>
        <w:spacing w:after="22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b/>
          <w:sz w:val="20"/>
          <w:szCs w:val="20"/>
        </w:rPr>
        <w:t xml:space="preserve">Рис</w:t>
      </w:r>
      <w:r>
        <w:rPr>
          <w:rFonts w:ascii="Times New Roman" w:hAnsi="Times New Roman" w:eastAsia="Times New Roman" w:cs="Times New Roman"/>
          <w:b/>
          <w:color w:val="auto"/>
          <w:sz w:val="20"/>
          <w:szCs w:val="20"/>
        </w:rPr>
        <w:t xml:space="preserve">унок 1</w:t>
      </w:r>
      <w:r>
        <w:rPr>
          <w:rFonts w:ascii="Times New Roman" w:hAnsi="Times New Roman" w:eastAsia="Times New Roman" w:cs="Times New Roman"/>
          <w:b/>
          <w:sz w:val="20"/>
          <w:szCs w:val="20"/>
        </w:rPr>
        <w:t xml:space="preserve">.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Биомикроскопия хрусталика миопических глаз</w:t>
      </w:r>
      <w:r>
        <w:rPr>
          <w:rFonts w:ascii="Times New Roman" w:hAnsi="Times New Roman" w:cs="Times New Roman"/>
          <w:sz w:val="20"/>
          <w:szCs w:val="20"/>
        </w:rPr>
        <w:t xml:space="preserve"> (из личного архива М.Г. Рабаданово</w:t>
      </w:r>
      <w:r>
        <w:rPr>
          <w:rFonts w:ascii="Times New Roman" w:hAnsi="Times New Roman" w:cs="Times New Roman"/>
          <w:sz w:val="20"/>
          <w:szCs w:val="20"/>
        </w:rPr>
        <w:t xml:space="preserve">й). Визуализируются снижение прозрачности </w:t>
      </w:r>
      <w:r>
        <w:rPr>
          <w:rFonts w:ascii="Times New Roman" w:hAnsi="Times New Roman" w:cs="Times New Roman"/>
          <w:sz w:val="20"/>
          <w:szCs w:val="20"/>
        </w:rPr>
        <w:t xml:space="preserve">хрусталиковых швов– А; кортикальные помутнения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– В, С, </w:t>
      </w:r>
      <w:r>
        <w:rPr>
          <w:rFonts w:ascii="Times New Roman" w:hAnsi="Times New Roman" w:cs="Times New Roman"/>
          <w:sz w:val="20"/>
          <w:szCs w:val="20"/>
        </w:rPr>
        <w:t xml:space="preserve">при максимальном мидриазе</w:t>
      </w:r>
      <w:r>
        <w:rPr>
          <w:rFonts w:ascii="Times New Roman" w:hAnsi="Times New Roman" w:cs="Times New Roman"/>
          <w:sz w:val="20"/>
          <w:szCs w:val="20"/>
        </w:rPr>
        <w:t xml:space="preserve">.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220"/>
        <w:rPr>
          <w:rFonts w:ascii="Times New Roman" w:hAnsi="Times New Roman" w:eastAsia="Times New Roman" w:cs="Times New Roman"/>
          <w:color w:val="auto"/>
          <w:sz w:val="20"/>
          <w:szCs w:val="20"/>
        </w:rPr>
      </w:pPr>
      <w:r>
        <w:rPr>
          <w:rFonts w:ascii="Times New Roman" w:hAnsi="Times New Roman" w:eastAsia="Times New Roman" w:cs="Times New Roman"/>
          <w:color w:val="auto"/>
          <w:sz w:val="20"/>
          <w:szCs w:val="20"/>
        </w:rPr>
      </w:r>
      <w:r>
        <w:rPr>
          <w:rFonts w:ascii="Times New Roman" w:hAnsi="Times New Roman" w:eastAsia="Times New Roman" w:cs="Times New Roman"/>
          <w:color w:val="auto"/>
          <w:sz w:val="20"/>
          <w:szCs w:val="20"/>
        </w:rPr>
      </w:r>
    </w:p>
    <w:p>
      <w:pPr>
        <w:pStyle w:val="672"/>
        <w:jc w:val="both"/>
        <w:tabs>
          <w:tab w:val="left" w:pos="263" w:leader="none"/>
        </w:tabs>
      </w:pPr>
      <w:r/>
      <w:bookmarkStart w:id="2" w:name="bookmark4"/>
      <w:r/>
      <w:bookmarkEnd w:id="2"/>
      <w:r>
        <w:t xml:space="preserve">7 </w:t>
      </w:r>
      <w:r>
        <w:t xml:space="preserve">Литература</w:t>
      </w:r>
      <w:bookmarkStart w:id="3" w:name="bookmark5"/>
      <w:r/>
      <w:bookmarkEnd w:id="3"/>
      <w:r/>
      <w:r/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Киселева Т.Н., Зайцев М.С. Инновационные технологии в мониторинге возрастной катаракты. Офтальмология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2022;19(4):740–745. DOI: 10.18008/1816-5095-2022-4-740-745. [Kiseleva T.N., Zaitsev M.S. Innovative Technologies in the Monitoring of the Age-Related Cataract. Ophthalmology in Russia. 2022;19(4):740–745 (in Russ.)]. DOI: 10.18008/1816-5095-2022-4-740-745.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GBD 2019 Blindness and Vision Impairment Collaborators; Vision Loss Expert Group of the Global Burden of Disease Study. Ca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uses of blindness and vision impairment in 2020 and trends over 30 years, and prevalence of avoidable blindness in relation to VISION 2020: the Right to Sight: an analysis for the Global Burden of Disease Study. Lancet Glob Health. 2021;9(2):e144–e160. DOI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: 10.1016/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S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2214-109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X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(20)30489-7.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Ковалевская М.А., Владимирова Ю.В., Филина Л.А., Кокорев В.Л. Современные концепции и перспективы воздействия на катарактогенез. Клиническая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офтальмология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. 2021;21(1):24–28. DOI: 10.32364/2311-7729-2021-21-1-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24-28.5. [Kovalevskaya M.A., Vladimirova Yu.V., Filina L.A., Kokorev V.L. Current conceptions and promising tools to prevent cataractogenesis. Russian Journal of Clinical Ophthalmology. 2021;21(1):24–28 (in Russ.)]. DOI: 10.32364/2311-7729-2021-21-1-24-28.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Upaphong P., Thonusin C., Choovuthayakorn J. et al. The Possible Positive Mechanisms of Pirenoxine in Cataract Formation. Int J Mol Sci. 2022;23(16):9431. DOI: 10.3390/ijms23169431.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Holden B.A., Fricke T.R., Wilson D.A. et al. Global Prevalence of Myopia and High Myopia and Temporal Trends from 2000 through 2050. Ophthalmology. 2016;123(5):1036–1042. DOI: 10.1016/j.ophtha.2016.01.006.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Wang W., Xiang Y., Zhu L. et al. Myopia progression and associated factors of refractive status in children and adolescents in Tibet and Chongqing during the COVID-19 pandemic. Front Public Health. 2022;10:993728. DOI: 10.3389/fpubh.2022.993728.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Yang Z., Wang X., Zhang S. et al. Pediatric Myopia Progression During the COVID-19 Pandemic Home Quarantine and the Risk Factors: A Systematic Review and Meta-Analysis. Front Public Health. 2022;10:835449. DOI: 10.3389/fpubh.2022.835449.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Zhou W., Li Q., Chen H. et al. Trends of myopia development among primary and junior school students in the post-COVID-19 epidemic period. Front Public Health. 2022;10:970751. DOI: 10.3389/fpubh.2022.970751.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Németh J., Tapasztó B., Aclimandos W.A. et al. Update and guidance on management of myopia. European Society of Ophthalmology in cooperation with International Myopia Institute. Eur J Ophthalmol. 2021;31(3):853–883. DOI: 10.1177/1120672121998960.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Landreneau J.R., Hesemann N.P., Cardonell M.A. Review on the Myopia Pandemic: Epidemiology, Risk Factors, and Prevention. Mo Med. 2021;118(2):156–163.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Bullimore M.A., Ritchey E.R., Shah S. et al. The Risks and Benefits of Myopia Control. Ophthalmology. 2021;128(11):1561–1579. DOI: 10.1016/j.ophtha.2021.04.032.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Zhu X., Du Y., Li D. et al. Aberrant TGF-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β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1 signaling activation by MAF underlies pathological lens growth in high myopia. Nat Commun. 2021;12(1):2102. DOI: 10.1038/s41467-021-22041-2.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Zhu X., Li D., Du Y. et al. DNA hypermethylation-mediated downregulation of antioxidant genes contributes to the early onset of cataracts in highly myopic eyes. Redox Biol. 2018;19:179–189. DOI: 10.1016/j.redox.2018.08.012.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Zhu X.J., Zhou P., Zhang K.K. et al. Epigenetic regulation of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α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A-crystallin in high myopia-induced dark nuclear cataract. PLoS One. 2013;8(12):e81900. DOI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: 10.1371/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journal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pone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.0081900.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Яхъяева М.М.,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Корсакова Е.И., Светличная С.В. Оценка состояния хрусталика у пациентов с осложненной миопией. В кн.: сб. тезисов XVIII Международной (XXVII Всероссийской) Пироговской научной медицинской конференции студентов и молодых ученых (Москва, 16 марта 2023 г.). М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.: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РНИМУ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им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Пирогова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, 2023:32. [Yakh”yayeva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M.M., Korsakova Ye.I., Sve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tlichnaya S.V. Assess the condition of the lens in patients with complicated myopia. In the collection of abstracts / XVIII International (XXVII All-Russian) Pirogov Scientific Medical Conference of Students and Young Scientists (Moscow, March 16, 2023). M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.: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RNIMU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im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N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Pirogova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, 2023:32 (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in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Russ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.)]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Лобанова Е.И., Жидкова Е.С. Цифровой зрительный синдром у студентов в период до и после эпидемии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COVID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-19. В кн.: сб. тезисов XVIII Международной (XXVII Всероссийской) Пироговской научной медицинской конференции студентов и молодых ученых (Москва, 16 марта 2023 г.). М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.: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РНИМУ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им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Пирогова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, 2023:37-38. [Lobanova E.I., Zhidkova E.S. Digital visual syndrome i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n students before and after the COVID-19 epidemic. In the collection of abstracts / XVIII International (XXVII All-Russian) Pirogov Scientific Medical Conference of Students and Young Scientists (Moscow, March 16, 2023). M.: RNIMU im. N.I. Pirogova, 2023:3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7-38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 (in Russ.)]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</w:r>
    </w:p>
    <w:p>
      <w:pPr>
        <w:pStyle w:val="676"/>
        <w:numPr>
          <w:ilvl w:val="0"/>
          <w:numId w:val="5"/>
        </w:numPr>
        <w:ind w:left="0" w:firstLine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Kanthan G.L., Mitchell P., Rochtchina E. et al. Myopia and the long-term incidence of cataract and cataract surgery: the Blue Mountains Eye Study. Clin Exp Ophthalmol. 2014;42(4):347–353. DOI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: 10.1111/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val="en-US" w:eastAsia="ru-RU"/>
        </w:rPr>
        <w:t xml:space="preserve">ceo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t xml:space="preserve">.12206.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Style w:val="676"/>
        <w:ind w:left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Style w:val="676"/>
        <w:ind w:left="0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  <w:sectPr>
          <w:footnotePr/>
          <w:endnotePr/>
          <w:type w:val="continuous"/>
          <w:pgSz w:w="11900" w:h="16840" w:orient="portrait"/>
          <w:pgMar w:top="1438" w:right="869" w:bottom="1267" w:left="874" w:header="0" w:footer="3" w:gutter="0"/>
          <w:cols w:num="2" w:sep="0" w:space="662" w:equalWidth="1"/>
          <w:docGrid w:linePitch="360"/>
        </w:sectPr>
      </w:pPr>
      <w:r/>
      <w:bookmarkStart w:id="4" w:name="_GoBack"/>
      <w:r/>
      <w:bookmarkEnd w:id="4"/>
      <w:r/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spacing w:line="1" w:lineRule="exact"/>
        <w:rPr>
          <w:lang w:val="en-US"/>
        </w:rPr>
        <w:sectPr>
          <w:footnotePr/>
          <w:endnotePr/>
          <w:type w:val="continuous"/>
          <w:pgSz w:w="11900" w:h="16840" w:orient="portrait"/>
          <w:pgMar w:top="1438" w:right="0" w:bottom="1267" w:left="0" w:header="0" w:footer="3" w:gutter="0"/>
          <w:cols w:num="1" w:sep="0" w:space="720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672"/>
        <w:spacing w:after="0"/>
        <w:tabs>
          <w:tab w:val="left" w:pos="301" w:leader="none"/>
        </w:tabs>
      </w:pPr>
      <w:r/>
      <w:bookmarkStart w:id="5" w:name="bookmark7"/>
      <w:r/>
      <w:bookmarkEnd w:id="5"/>
      <w:r/>
      <w:r/>
    </w:p>
    <w:sectPr>
      <w:footnotePr/>
      <w:endnotePr/>
      <w:type w:val="continuous"/>
      <w:pgSz w:w="11900" w:h="16840" w:orient="portrait"/>
      <w:pgMar w:top="1438" w:right="869" w:bottom="993" w:left="874" w:header="0" w:footer="3" w:gutter="0"/>
      <w:cols w:num="2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Times New Roman">
    <w:panose1 w:val="02020603050405020304"/>
  </w:font>
  <w:font w:name="Arial">
    <w:panose1 w:val="020B0604020202020204"/>
  </w:font>
  <w:font w:name="Microsoft Sans Serif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/>
      <w:r/>
    </w:p>
  </w:footnote>
  <w:footnote w:type="continuationSeparator" w:id="0">
    <w:p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decimal"/>
      <w:isLgl w:val="false"/>
      <w:suff w:val="tab"/>
      <w:lvlText w:val="%1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0"/>
        <w:szCs w:val="20"/>
        <w:u w:val="none"/>
        <w:shd w:val="clear" w:color="auto" w:fill="auto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Microsoft Sans Serif" w:hAnsi="Microsoft Sans Serif" w:eastAsia="Microsoft Sans Serif" w:cs="Microsoft Sans Serif"/>
        <w:sz w:val="24"/>
        <w:szCs w:val="24"/>
        <w:lang w:val="ru-RU" w:eastAsia="ru-RU" w:bidi="ru-RU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63"/>
    <w:next w:val="66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6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63"/>
    <w:next w:val="66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6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63"/>
    <w:next w:val="66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6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63"/>
    <w:next w:val="66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6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3"/>
    <w:next w:val="66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6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3"/>
    <w:next w:val="66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6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3"/>
    <w:next w:val="66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6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3"/>
    <w:next w:val="66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6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3"/>
    <w:next w:val="66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6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63"/>
    <w:next w:val="66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64"/>
    <w:link w:val="34"/>
    <w:uiPriority w:val="10"/>
    <w:rPr>
      <w:sz w:val="48"/>
      <w:szCs w:val="48"/>
    </w:rPr>
  </w:style>
  <w:style w:type="paragraph" w:styleId="36">
    <w:name w:val="Subtitle"/>
    <w:basedOn w:val="663"/>
    <w:next w:val="66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64"/>
    <w:link w:val="36"/>
    <w:uiPriority w:val="11"/>
    <w:rPr>
      <w:sz w:val="24"/>
      <w:szCs w:val="24"/>
    </w:rPr>
  </w:style>
  <w:style w:type="paragraph" w:styleId="38">
    <w:name w:val="Quote"/>
    <w:basedOn w:val="663"/>
    <w:next w:val="66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3"/>
    <w:next w:val="66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6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64"/>
    <w:link w:val="42"/>
    <w:uiPriority w:val="99"/>
  </w:style>
  <w:style w:type="paragraph" w:styleId="44">
    <w:name w:val="Footer"/>
    <w:basedOn w:val="66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64"/>
    <w:link w:val="44"/>
    <w:uiPriority w:val="99"/>
  </w:style>
  <w:style w:type="paragraph" w:styleId="46">
    <w:name w:val="Caption"/>
    <w:basedOn w:val="663"/>
    <w:next w:val="66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6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6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6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6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6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6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6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64"/>
    <w:uiPriority w:val="99"/>
    <w:unhideWhenUsed/>
    <w:rPr>
      <w:vertAlign w:val="superscript"/>
    </w:rPr>
  </w:style>
  <w:style w:type="paragraph" w:styleId="178">
    <w:name w:val="endnote text"/>
    <w:basedOn w:val="66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64"/>
    <w:uiPriority w:val="99"/>
    <w:semiHidden/>
    <w:unhideWhenUsed/>
    <w:rPr>
      <w:vertAlign w:val="superscript"/>
    </w:rPr>
  </w:style>
  <w:style w:type="paragraph" w:styleId="181">
    <w:name w:val="toc 1"/>
    <w:basedOn w:val="663"/>
    <w:next w:val="66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63"/>
    <w:next w:val="66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63"/>
    <w:next w:val="66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63"/>
    <w:next w:val="66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63"/>
    <w:next w:val="66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63"/>
    <w:next w:val="66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63"/>
    <w:next w:val="66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63"/>
    <w:next w:val="66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63"/>
    <w:next w:val="66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63"/>
    <w:next w:val="663"/>
    <w:uiPriority w:val="99"/>
    <w:unhideWhenUsed/>
    <w:pPr>
      <w:spacing w:after="0" w:afterAutospacing="0"/>
    </w:pPr>
  </w:style>
  <w:style w:type="paragraph" w:styleId="663" w:default="1">
    <w:name w:val="Normal"/>
    <w:rPr>
      <w:color w:val="000000"/>
    </w:rPr>
  </w:style>
  <w:style w:type="character" w:styleId="664" w:default="1">
    <w:name w:val="Default Paragraph Font"/>
    <w:uiPriority w:val="1"/>
    <w:semiHidden/>
    <w:unhideWhenUsed/>
  </w:style>
  <w:style w:type="table" w:styleId="6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6" w:default="1">
    <w:name w:val="No List"/>
    <w:uiPriority w:val="99"/>
    <w:semiHidden/>
    <w:unhideWhenUsed/>
  </w:style>
  <w:style w:type="character" w:styleId="667" w:customStyle="1">
    <w:name w:val="Основной текст_"/>
    <w:basedOn w:val="664"/>
    <w:link w:val="67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styleId="668" w:customStyle="1">
    <w:name w:val="Основной текст (2)_"/>
    <w:basedOn w:val="664"/>
    <w:link w:val="672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styleId="669" w:customStyle="1">
    <w:name w:val="Основной текст (3)_"/>
    <w:basedOn w:val="664"/>
    <w:link w:val="673"/>
    <w:rPr>
      <w:rFonts w:ascii="SimSun" w:hAnsi="SimSun" w:eastAsia="SimSun" w:cs="SimSu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styleId="670" w:customStyle="1">
    <w:name w:val="Подпись к картинке_"/>
    <w:basedOn w:val="664"/>
    <w:link w:val="674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styleId="671" w:customStyle="1">
    <w:name w:val="Основной текст1"/>
    <w:basedOn w:val="663"/>
    <w:link w:val="667"/>
    <w:pPr>
      <w:spacing w:after="220"/>
    </w:pPr>
    <w:rPr>
      <w:rFonts w:ascii="Times New Roman" w:hAnsi="Times New Roman" w:eastAsia="Times New Roman" w:cs="Times New Roman"/>
      <w:sz w:val="20"/>
      <w:szCs w:val="20"/>
    </w:rPr>
  </w:style>
  <w:style w:type="paragraph" w:styleId="672" w:customStyle="1">
    <w:name w:val="Основной текст (2)"/>
    <w:basedOn w:val="663"/>
    <w:link w:val="668"/>
    <w:pPr>
      <w:spacing w:after="220"/>
    </w:pPr>
    <w:rPr>
      <w:rFonts w:ascii="Times New Roman" w:hAnsi="Times New Roman" w:eastAsia="Times New Roman" w:cs="Times New Roman"/>
      <w:b/>
      <w:bCs/>
    </w:rPr>
  </w:style>
  <w:style w:type="paragraph" w:styleId="673" w:customStyle="1">
    <w:name w:val="Основной текст (3)"/>
    <w:basedOn w:val="663"/>
    <w:link w:val="669"/>
    <w:pPr>
      <w:spacing w:line="221" w:lineRule="auto"/>
    </w:pPr>
    <w:rPr>
      <w:rFonts w:ascii="SimSun" w:hAnsi="SimSun" w:eastAsia="SimSun" w:cs="SimSun"/>
      <w:sz w:val="20"/>
      <w:szCs w:val="20"/>
    </w:rPr>
  </w:style>
  <w:style w:type="paragraph" w:styleId="674" w:customStyle="1">
    <w:name w:val="Подпись к картинке"/>
    <w:basedOn w:val="663"/>
    <w:link w:val="670"/>
    <w:rPr>
      <w:rFonts w:ascii="Times New Roman" w:hAnsi="Times New Roman" w:eastAsia="Times New Roman" w:cs="Times New Roman"/>
      <w:sz w:val="20"/>
      <w:szCs w:val="20"/>
    </w:rPr>
  </w:style>
  <w:style w:type="paragraph" w:styleId="675">
    <w:name w:val="Normal (Web)"/>
    <w:basedOn w:val="663"/>
    <w:uiPriority w:val="99"/>
    <w:semiHidden/>
    <w:unhideWhenUsed/>
    <w:pPr>
      <w:spacing w:before="100" w:beforeAutospacing="1" w:after="100" w:afterAutospacing="1"/>
      <w:widowControl/>
    </w:pPr>
    <w:rPr>
      <w:rFonts w:ascii="Times New Roman" w:hAnsi="Times New Roman" w:eastAsia="Times New Roman" w:cs="Times New Roman"/>
      <w:color w:val="auto"/>
      <w:lang w:bidi="ar-SA"/>
    </w:rPr>
  </w:style>
  <w:style w:type="paragraph" w:styleId="676">
    <w:name w:val="List Paragraph"/>
    <w:basedOn w:val="663"/>
    <w:uiPriority w:val="34"/>
    <w:qFormat/>
    <w:pPr>
      <w:contextualSpacing/>
      <w:ind w:left="720"/>
      <w:spacing w:after="160" w:line="259" w:lineRule="auto"/>
      <w:widowControl/>
    </w:pPr>
    <w:rPr>
      <w:rFonts w:asciiTheme="minorHAnsi" w:hAnsiTheme="minorHAnsi" w:eastAsiaTheme="minorHAnsi" w:cstheme="minorBidi"/>
      <w:color w:val="auto"/>
      <w:sz w:val="22"/>
      <w:szCs w:val="22"/>
      <w:lang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URSI Flagship Meetings</dc:title>
  <dc:subject/>
  <dc:creator>URSI</dc:creator>
  <cp:keywords/>
  <cp:lastModifiedBy>Мария Григорьева</cp:lastModifiedBy>
  <cp:revision>9</cp:revision>
  <dcterms:created xsi:type="dcterms:W3CDTF">2024-04-29T13:22:00Z</dcterms:created>
  <dcterms:modified xsi:type="dcterms:W3CDTF">2024-05-21T13:42:52Z</dcterms:modified>
</cp:coreProperties>
</file>